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004" w:rsidRDefault="000D6004"/>
    <w:p w:rsidR="000D6004" w:rsidRDefault="000D6004">
      <w:r w:rsidRPr="000D6004">
        <w:rPr>
          <w:noProof/>
          <w:lang w:eastAsia="cs-CZ"/>
        </w:rPr>
        <w:drawing>
          <wp:inline distT="0" distB="0" distL="0" distR="0">
            <wp:extent cx="5760720" cy="1258824"/>
            <wp:effectExtent l="19050" t="0" r="0" b="0"/>
            <wp:docPr id="4" name="obrázek 1" descr="http://www.spsautocb.cz/images/stories/loga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psautocb.cz/images/stories/loga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6004" w:rsidRDefault="000D6004"/>
    <w:tbl>
      <w:tblPr>
        <w:tblW w:w="4950" w:type="pct"/>
        <w:jc w:val="center"/>
        <w:tblCellMar>
          <w:left w:w="0" w:type="dxa"/>
          <w:right w:w="0" w:type="dxa"/>
        </w:tblCellMar>
        <w:tblLook w:val="0000"/>
      </w:tblPr>
      <w:tblGrid>
        <w:gridCol w:w="2224"/>
        <w:gridCol w:w="7042"/>
      </w:tblGrid>
      <w:tr w:rsidR="00A036C7" w:rsidRPr="001D4230" w:rsidTr="000C2AE1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036C7" w:rsidRPr="001D4230" w:rsidRDefault="00A036C7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036C7" w:rsidRPr="001D4230" w:rsidRDefault="00A036C7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A036C7" w:rsidRPr="001D4230" w:rsidTr="000C2AE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036C7" w:rsidRPr="001D4230" w:rsidRDefault="00A036C7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036C7" w:rsidRPr="001D4230" w:rsidRDefault="00A036C7" w:rsidP="000C2AE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Ing. Jan Štěpka</w:t>
            </w:r>
          </w:p>
        </w:tc>
      </w:tr>
      <w:tr w:rsidR="00A036C7" w:rsidRPr="001D4230" w:rsidTr="000C2AE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036C7" w:rsidRPr="001D4230" w:rsidRDefault="00A036C7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036C7" w:rsidRPr="001D4230" w:rsidRDefault="00A036C7" w:rsidP="000C2AE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Devizové obchody</w:t>
            </w:r>
          </w:p>
        </w:tc>
      </w:tr>
      <w:tr w:rsidR="00A036C7" w:rsidRPr="001D4230" w:rsidTr="000C2AE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036C7" w:rsidRPr="001D4230" w:rsidRDefault="00A036C7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036C7" w:rsidRPr="001D4230" w:rsidRDefault="00A036C7" w:rsidP="000C2AE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Ekonomika</w:t>
            </w:r>
          </w:p>
        </w:tc>
      </w:tr>
      <w:tr w:rsidR="00A036C7" w:rsidRPr="001D4230" w:rsidTr="000C2AE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036C7" w:rsidRPr="001D4230" w:rsidRDefault="00A036C7" w:rsidP="000C2AE1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036C7" w:rsidRPr="001D4230" w:rsidRDefault="00A036C7" w:rsidP="00A036C7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Nástavba, obor </w:t>
            </w:r>
            <w:r w:rsidR="00A420CA">
              <w:rPr>
                <w:rFonts w:ascii="Calibri" w:hAnsi="Calibri"/>
                <w:bCs/>
              </w:rPr>
              <w:t xml:space="preserve"> </w:t>
            </w:r>
            <w:r>
              <w:rPr>
                <w:rFonts w:ascii="Calibri" w:hAnsi="Calibri"/>
                <w:bCs/>
              </w:rPr>
              <w:t>Podnikání  - 2.ročník</w:t>
            </w:r>
          </w:p>
        </w:tc>
      </w:tr>
      <w:tr w:rsidR="00A036C7" w:rsidRPr="001D4230" w:rsidTr="000C2AE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036C7" w:rsidRPr="001D4230" w:rsidRDefault="00A036C7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036C7" w:rsidRPr="001D4230" w:rsidRDefault="00A036C7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A036C7" w:rsidRPr="001D4230" w:rsidTr="000C2AE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036C7" w:rsidRPr="001D4230" w:rsidRDefault="00A036C7" w:rsidP="000C2AE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036C7" w:rsidRPr="001D4230" w:rsidRDefault="00DF65B4" w:rsidP="00DF65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Říjen </w:t>
            </w:r>
            <w:r w:rsidR="00A036C7">
              <w:rPr>
                <w:rFonts w:ascii="Calibri" w:hAnsi="Calibri"/>
              </w:rPr>
              <w:t xml:space="preserve"> 201</w:t>
            </w:r>
            <w:r>
              <w:rPr>
                <w:rFonts w:ascii="Calibri" w:hAnsi="Calibri"/>
              </w:rPr>
              <w:t>2</w:t>
            </w:r>
          </w:p>
        </w:tc>
      </w:tr>
      <w:tr w:rsidR="00A036C7" w:rsidRPr="001D4230" w:rsidTr="000C2AE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036C7" w:rsidRPr="001D4230" w:rsidRDefault="00A036C7" w:rsidP="000C2AE1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036C7" w:rsidRPr="0005431E" w:rsidRDefault="00A036C7" w:rsidP="000C2AE1">
            <w:pPr>
              <w:rPr>
                <w:rFonts w:cs="Times New Roman"/>
              </w:rPr>
            </w:pPr>
            <w:r w:rsidRPr="0005431E">
              <w:rPr>
                <w:rFonts w:cs="Times New Roman"/>
              </w:rPr>
              <w:t>Materiál studentům objasňuje problematiku devizových obchodů a kurzů. Vysvětleny jsou pojmy finančních derivátů cenných papírů.</w:t>
            </w:r>
          </w:p>
        </w:tc>
      </w:tr>
    </w:tbl>
    <w:p w:rsidR="00A036C7" w:rsidRDefault="00A036C7">
      <w:pPr>
        <w:rPr>
          <w:rFonts w:ascii="Times New Roman" w:hAnsi="Times New Roman" w:cs="Times New Roman"/>
          <w:b/>
          <w:sz w:val="28"/>
          <w:szCs w:val="28"/>
        </w:rPr>
      </w:pPr>
    </w:p>
    <w:p w:rsidR="00170301" w:rsidRDefault="00170301">
      <w:pPr>
        <w:rPr>
          <w:rFonts w:ascii="Times New Roman" w:hAnsi="Times New Roman" w:cs="Times New Roman"/>
          <w:b/>
          <w:sz w:val="28"/>
          <w:szCs w:val="28"/>
        </w:rPr>
      </w:pPr>
    </w:p>
    <w:p w:rsidR="00232BFC" w:rsidRDefault="00232BFC">
      <w:pPr>
        <w:rPr>
          <w:rFonts w:ascii="Times New Roman" w:hAnsi="Times New Roman" w:cs="Times New Roman"/>
          <w:b/>
          <w:sz w:val="28"/>
          <w:szCs w:val="28"/>
        </w:rPr>
      </w:pPr>
      <w:r w:rsidRPr="00232BFC">
        <w:rPr>
          <w:rFonts w:ascii="Times New Roman" w:hAnsi="Times New Roman" w:cs="Times New Roman"/>
          <w:b/>
          <w:sz w:val="28"/>
          <w:szCs w:val="28"/>
        </w:rPr>
        <w:t>Devizové obchody</w:t>
      </w:r>
    </w:p>
    <w:p w:rsidR="00232BFC" w:rsidRPr="002D6782" w:rsidRDefault="00232BFC" w:rsidP="002D6782">
      <w:pPr>
        <w:spacing w:before="360"/>
        <w:rPr>
          <w:rFonts w:ascii="Times New Roman" w:hAnsi="Times New Roman" w:cs="Times New Roman"/>
          <w:b/>
          <w:sz w:val="24"/>
          <w:szCs w:val="24"/>
        </w:rPr>
      </w:pPr>
      <w:r w:rsidRPr="002D6782">
        <w:rPr>
          <w:rFonts w:ascii="Times New Roman" w:hAnsi="Times New Roman" w:cs="Times New Roman"/>
          <w:b/>
          <w:sz w:val="24"/>
          <w:szCs w:val="24"/>
        </w:rPr>
        <w:t>Devizový kurz</w:t>
      </w:r>
    </w:p>
    <w:p w:rsidR="00232BFC" w:rsidRDefault="00232BFC" w:rsidP="002D6782">
      <w:pPr>
        <w:spacing w:before="360"/>
        <w:rPr>
          <w:rFonts w:ascii="Times New Roman" w:hAnsi="Times New Roman" w:cs="Times New Roman"/>
          <w:sz w:val="24"/>
          <w:szCs w:val="24"/>
        </w:rPr>
      </w:pPr>
      <w:r w:rsidRPr="002D6782">
        <w:rPr>
          <w:rFonts w:ascii="Times New Roman" w:hAnsi="Times New Roman" w:cs="Times New Roman"/>
          <w:b/>
          <w:sz w:val="24"/>
          <w:szCs w:val="24"/>
        </w:rPr>
        <w:t>Valutami</w:t>
      </w:r>
      <w:r>
        <w:rPr>
          <w:rFonts w:ascii="Times New Roman" w:hAnsi="Times New Roman" w:cs="Times New Roman"/>
          <w:sz w:val="24"/>
          <w:szCs w:val="24"/>
        </w:rPr>
        <w:t xml:space="preserve"> jsou z hlediska daného státu cizí měnové peněžní prostředky, ve formě hotovostních platidel, bankovek, oběžných mincí. </w:t>
      </w:r>
    </w:p>
    <w:p w:rsidR="00232BFC" w:rsidRDefault="002D67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</w:t>
      </w:r>
      <w:r w:rsidR="00232BFC" w:rsidRPr="002D6782">
        <w:rPr>
          <w:rFonts w:ascii="Times New Roman" w:hAnsi="Times New Roman" w:cs="Times New Roman"/>
          <w:b/>
          <w:sz w:val="24"/>
          <w:szCs w:val="24"/>
        </w:rPr>
        <w:t xml:space="preserve">vizami </w:t>
      </w:r>
      <w:r w:rsidR="00232BFC">
        <w:rPr>
          <w:rFonts w:ascii="Times New Roman" w:hAnsi="Times New Roman" w:cs="Times New Roman"/>
          <w:sz w:val="24"/>
          <w:szCs w:val="24"/>
        </w:rPr>
        <w:t>jsou peněžní prostředky v cizí měně (z hlediska daného státu)</w:t>
      </w:r>
      <w:r>
        <w:rPr>
          <w:rFonts w:ascii="Times New Roman" w:hAnsi="Times New Roman" w:cs="Times New Roman"/>
          <w:sz w:val="24"/>
          <w:szCs w:val="24"/>
        </w:rPr>
        <w:t>, kt</w:t>
      </w:r>
      <w:r w:rsidR="00232BFC">
        <w:rPr>
          <w:rFonts w:ascii="Times New Roman" w:hAnsi="Times New Roman" w:cs="Times New Roman"/>
          <w:sz w:val="24"/>
          <w:szCs w:val="24"/>
        </w:rPr>
        <w:t>eré jsou na účtech u tuzemských nebo zahraničních peněžních ústavů</w:t>
      </w:r>
      <w:r>
        <w:rPr>
          <w:rFonts w:ascii="Times New Roman" w:hAnsi="Times New Roman" w:cs="Times New Roman"/>
          <w:sz w:val="24"/>
          <w:szCs w:val="24"/>
        </w:rPr>
        <w:t>,</w:t>
      </w:r>
      <w:r w:rsidR="00232BFC">
        <w:rPr>
          <w:rFonts w:ascii="Times New Roman" w:hAnsi="Times New Roman" w:cs="Times New Roman"/>
          <w:sz w:val="24"/>
          <w:szCs w:val="24"/>
        </w:rPr>
        <w:t xml:space="preserve"> nebo s nimiž lze nakládat na základě zahraničních platebních dokumentů, nebo dokumenty, s nimiž je spojeno právo na peněžní plnění v cizí měně (směnky, šeky, </w:t>
      </w:r>
      <w:r>
        <w:rPr>
          <w:rFonts w:ascii="Times New Roman" w:hAnsi="Times New Roman" w:cs="Times New Roman"/>
          <w:sz w:val="24"/>
          <w:szCs w:val="24"/>
        </w:rPr>
        <w:t>a</w:t>
      </w:r>
      <w:r w:rsidR="00232BFC">
        <w:rPr>
          <w:rFonts w:ascii="Times New Roman" w:hAnsi="Times New Roman" w:cs="Times New Roman"/>
          <w:sz w:val="24"/>
          <w:szCs w:val="24"/>
        </w:rPr>
        <w:t>kreditivy, platební karty, cenné papíry atd.)</w:t>
      </w:r>
    </w:p>
    <w:p w:rsidR="00232BFC" w:rsidRPr="002D6782" w:rsidRDefault="00232BF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Přepočty domacích měn na měny zahraniční, které jsou nezbytné při uskutečňování uvedených plateb a transakcí, jejichž neoddělitelnou součástí jsou tyto platby, se pr</w:t>
      </w:r>
      <w:r w:rsidR="002D6782">
        <w:rPr>
          <w:rFonts w:ascii="Times New Roman" w:hAnsi="Times New Roman" w:cs="Times New Roman"/>
          <w:sz w:val="24"/>
          <w:szCs w:val="24"/>
        </w:rPr>
        <w:t>ov</w:t>
      </w:r>
      <w:r>
        <w:rPr>
          <w:rFonts w:ascii="Times New Roman" w:hAnsi="Times New Roman" w:cs="Times New Roman"/>
          <w:sz w:val="24"/>
          <w:szCs w:val="24"/>
        </w:rPr>
        <w:t>ádějí prostřednictví</w:t>
      </w:r>
      <w:r w:rsidR="002D6782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782">
        <w:rPr>
          <w:rFonts w:ascii="Times New Roman" w:hAnsi="Times New Roman" w:cs="Times New Roman"/>
          <w:b/>
          <w:sz w:val="24"/>
          <w:szCs w:val="24"/>
        </w:rPr>
        <w:t>devizového či směnného kurzu.</w:t>
      </w:r>
    </w:p>
    <w:p w:rsidR="00232BFC" w:rsidRPr="002D6782" w:rsidRDefault="00232BFC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2D6782">
        <w:rPr>
          <w:rFonts w:ascii="Times New Roman" w:hAnsi="Times New Roman" w:cs="Times New Roman"/>
          <w:b/>
          <w:sz w:val="24"/>
          <w:szCs w:val="24"/>
        </w:rPr>
        <w:t>Devizový kurz</w:t>
      </w:r>
      <w:r>
        <w:rPr>
          <w:rFonts w:ascii="Times New Roman" w:hAnsi="Times New Roman" w:cs="Times New Roman"/>
          <w:sz w:val="24"/>
          <w:szCs w:val="24"/>
        </w:rPr>
        <w:t xml:space="preserve"> bývá nejčastěji definován jako určitý </w:t>
      </w:r>
      <w:r w:rsidRPr="002D6782">
        <w:rPr>
          <w:rFonts w:ascii="Times New Roman" w:hAnsi="Times New Roman" w:cs="Times New Roman"/>
          <w:b/>
          <w:i/>
          <w:sz w:val="24"/>
          <w:szCs w:val="24"/>
        </w:rPr>
        <w:t>kvantitativní poměr,</w:t>
      </w:r>
      <w:r>
        <w:rPr>
          <w:rFonts w:ascii="Times New Roman" w:hAnsi="Times New Roman" w:cs="Times New Roman"/>
          <w:sz w:val="24"/>
          <w:szCs w:val="24"/>
        </w:rPr>
        <w:t xml:space="preserve"> v němž </w:t>
      </w:r>
      <w:proofErr w:type="gramStart"/>
      <w:r>
        <w:rPr>
          <w:rFonts w:ascii="Times New Roman" w:hAnsi="Times New Roman" w:cs="Times New Roman"/>
          <w:sz w:val="24"/>
          <w:szCs w:val="24"/>
        </w:rPr>
        <w:t>je</w:t>
      </w:r>
      <w:r w:rsidR="002D67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jedné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jednotce domácí měny přiřazován určitý počet zahraničních měnových jednotek, či naopak jako určitý počet domácích měnových jednotek, které jsou přiřazování k jedné jednotce zahra</w:t>
      </w:r>
      <w:r w:rsidR="002D6782">
        <w:rPr>
          <w:rFonts w:ascii="Times New Roman" w:hAnsi="Times New Roman" w:cs="Times New Roman"/>
          <w:sz w:val="24"/>
          <w:szCs w:val="24"/>
        </w:rPr>
        <w:t>niční měny.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782">
        <w:rPr>
          <w:rFonts w:ascii="Times New Roman" w:hAnsi="Times New Roman" w:cs="Times New Roman"/>
          <w:b/>
          <w:i/>
          <w:sz w:val="24"/>
          <w:szCs w:val="24"/>
        </w:rPr>
        <w:t>Je to cena měny, v</w:t>
      </w:r>
      <w:r w:rsidR="002D6782" w:rsidRPr="002D6782">
        <w:rPr>
          <w:rFonts w:ascii="Times New Roman" w:hAnsi="Times New Roman" w:cs="Times New Roman"/>
          <w:b/>
          <w:i/>
          <w:sz w:val="24"/>
          <w:szCs w:val="24"/>
        </w:rPr>
        <w:t>y</w:t>
      </w:r>
      <w:r w:rsidRPr="002D6782">
        <w:rPr>
          <w:rFonts w:ascii="Times New Roman" w:hAnsi="Times New Roman" w:cs="Times New Roman"/>
          <w:b/>
          <w:i/>
          <w:sz w:val="24"/>
          <w:szCs w:val="24"/>
        </w:rPr>
        <w:t>jádřená v jednotkách jiné měny.</w:t>
      </w:r>
    </w:p>
    <w:p w:rsidR="002D6782" w:rsidRDefault="00232B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Nákupy či prodeje devizových aktiv převážně na mezinárodních peněžních trzích se nazývají </w:t>
      </w:r>
      <w:r w:rsidRPr="002D6782">
        <w:rPr>
          <w:rFonts w:ascii="Times New Roman" w:hAnsi="Times New Roman" w:cs="Times New Roman"/>
          <w:b/>
          <w:sz w:val="24"/>
          <w:szCs w:val="24"/>
        </w:rPr>
        <w:t>konverze deviz</w:t>
      </w:r>
      <w:r>
        <w:rPr>
          <w:rFonts w:ascii="Times New Roman" w:hAnsi="Times New Roman" w:cs="Times New Roman"/>
          <w:sz w:val="24"/>
          <w:szCs w:val="24"/>
        </w:rPr>
        <w:t xml:space="preserve"> a slouží k prosté p</w:t>
      </w:r>
      <w:r w:rsidR="002D678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oměně devizových aktiv v jedné měně do aktiv v jiné měně.</w:t>
      </w:r>
    </w:p>
    <w:p w:rsidR="00232BFC" w:rsidRPr="002D6782" w:rsidRDefault="00232BFC" w:rsidP="002D6782">
      <w:pPr>
        <w:spacing w:before="600"/>
        <w:rPr>
          <w:rFonts w:ascii="Times New Roman" w:hAnsi="Times New Roman" w:cs="Times New Roman"/>
          <w:b/>
          <w:sz w:val="24"/>
          <w:szCs w:val="24"/>
        </w:rPr>
      </w:pPr>
      <w:r w:rsidRPr="002D6782">
        <w:rPr>
          <w:rFonts w:ascii="Times New Roman" w:hAnsi="Times New Roman" w:cs="Times New Roman"/>
          <w:b/>
          <w:sz w:val="24"/>
          <w:szCs w:val="24"/>
        </w:rPr>
        <w:t>Operace na devizovém trhu</w:t>
      </w:r>
    </w:p>
    <w:p w:rsidR="00232BFC" w:rsidRDefault="00232B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Devizový trh je míste</w:t>
      </w:r>
      <w:r w:rsidR="002D6782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, kde se setkává nabídka cizí měny s poptávkou po této měně, kde se různé měny nakupují a prodávají.</w:t>
      </w:r>
    </w:p>
    <w:p w:rsidR="00232BFC" w:rsidRPr="002D6782" w:rsidRDefault="00232BFC">
      <w:pPr>
        <w:rPr>
          <w:rFonts w:ascii="Times New Roman" w:hAnsi="Times New Roman" w:cs="Times New Roman"/>
          <w:b/>
          <w:sz w:val="24"/>
          <w:szCs w:val="24"/>
        </w:rPr>
      </w:pPr>
      <w:r w:rsidRPr="002D6782">
        <w:rPr>
          <w:rFonts w:ascii="Times New Roman" w:hAnsi="Times New Roman" w:cs="Times New Roman"/>
          <w:b/>
          <w:sz w:val="24"/>
          <w:szCs w:val="24"/>
        </w:rPr>
        <w:t>V současné době k devizovým operacím patří:</w:t>
      </w:r>
    </w:p>
    <w:p w:rsidR="00232BFC" w:rsidRDefault="00232BFC" w:rsidP="00232BFC">
      <w:pPr>
        <w:rPr>
          <w:rFonts w:ascii="Times New Roman" w:hAnsi="Times New Roman" w:cs="Times New Roman"/>
          <w:sz w:val="24"/>
          <w:szCs w:val="24"/>
        </w:rPr>
      </w:pPr>
      <w:r w:rsidRPr="002D6782">
        <w:rPr>
          <w:rFonts w:ascii="Times New Roman" w:hAnsi="Times New Roman" w:cs="Times New Roman"/>
          <w:b/>
          <w:sz w:val="24"/>
          <w:szCs w:val="24"/>
        </w:rPr>
        <w:t>Operace promptní</w:t>
      </w:r>
      <w:r w:rsidR="006D0082" w:rsidRPr="002D6782">
        <w:rPr>
          <w:rFonts w:ascii="Times New Roman" w:hAnsi="Times New Roman" w:cs="Times New Roman"/>
          <w:b/>
          <w:sz w:val="24"/>
          <w:szCs w:val="24"/>
        </w:rPr>
        <w:t xml:space="preserve"> (spot operace)</w:t>
      </w:r>
      <w:r w:rsidR="006D0082">
        <w:rPr>
          <w:rFonts w:ascii="Times New Roman" w:hAnsi="Times New Roman" w:cs="Times New Roman"/>
          <w:sz w:val="24"/>
          <w:szCs w:val="24"/>
        </w:rPr>
        <w:t xml:space="preserve"> – je devizovou operací, při které se dodávka devizy provádí do dvou dnů po uzavření kontraktu.  </w:t>
      </w:r>
    </w:p>
    <w:p w:rsidR="006D0082" w:rsidRDefault="006D0082" w:rsidP="00232BFC">
      <w:pPr>
        <w:rPr>
          <w:rFonts w:ascii="Times New Roman" w:hAnsi="Times New Roman" w:cs="Times New Roman"/>
          <w:sz w:val="24"/>
          <w:szCs w:val="24"/>
        </w:rPr>
      </w:pPr>
      <w:r w:rsidRPr="002D6782">
        <w:rPr>
          <w:rFonts w:ascii="Times New Roman" w:hAnsi="Times New Roman" w:cs="Times New Roman"/>
          <w:b/>
          <w:sz w:val="24"/>
          <w:szCs w:val="24"/>
        </w:rPr>
        <w:t>Operace termínové</w:t>
      </w:r>
      <w:r>
        <w:rPr>
          <w:rFonts w:ascii="Times New Roman" w:hAnsi="Times New Roman" w:cs="Times New Roman"/>
          <w:sz w:val="24"/>
          <w:szCs w:val="24"/>
        </w:rPr>
        <w:t xml:space="preserve"> – k nim patří zejména:</w:t>
      </w:r>
    </w:p>
    <w:p w:rsidR="006D0082" w:rsidRDefault="006D0082" w:rsidP="00232BFC">
      <w:pPr>
        <w:rPr>
          <w:rFonts w:ascii="Times New Roman" w:hAnsi="Times New Roman" w:cs="Times New Roman"/>
          <w:sz w:val="24"/>
          <w:szCs w:val="24"/>
        </w:rPr>
      </w:pPr>
      <w:r w:rsidRPr="002D6782">
        <w:rPr>
          <w:rFonts w:ascii="Times New Roman" w:hAnsi="Times New Roman" w:cs="Times New Roman"/>
          <w:b/>
          <w:sz w:val="24"/>
          <w:szCs w:val="24"/>
        </w:rPr>
        <w:t xml:space="preserve">Forward </w:t>
      </w:r>
      <w:r>
        <w:rPr>
          <w:rFonts w:ascii="Times New Roman" w:hAnsi="Times New Roman" w:cs="Times New Roman"/>
          <w:sz w:val="24"/>
          <w:szCs w:val="24"/>
        </w:rPr>
        <w:t>– spočívá v tom, že dohoda o kontraktu se provádí v přítomné době, avšak plnění nastává v budoucnu v předem dohodnutém termínu.</w:t>
      </w:r>
    </w:p>
    <w:p w:rsidR="006D0082" w:rsidRDefault="006D0082" w:rsidP="00232BFC">
      <w:pPr>
        <w:rPr>
          <w:rFonts w:ascii="Times New Roman" w:hAnsi="Times New Roman" w:cs="Times New Roman"/>
          <w:sz w:val="24"/>
          <w:szCs w:val="24"/>
        </w:rPr>
      </w:pPr>
      <w:r w:rsidRPr="002D6782">
        <w:rPr>
          <w:rFonts w:ascii="Times New Roman" w:hAnsi="Times New Roman" w:cs="Times New Roman"/>
          <w:b/>
          <w:sz w:val="24"/>
          <w:szCs w:val="24"/>
        </w:rPr>
        <w:t>Swap</w:t>
      </w:r>
      <w:r>
        <w:rPr>
          <w:rFonts w:ascii="Times New Roman" w:hAnsi="Times New Roman" w:cs="Times New Roman"/>
          <w:sz w:val="24"/>
          <w:szCs w:val="24"/>
        </w:rPr>
        <w:t xml:space="preserve"> – se skládá ze dvou současných aktů v opačném směru, tj. koupě a prodej téže částky v téže devize, přičemž jedna operace je promptní a druhá termínová. Měnové a úrokové swapy jsou využívány především k minimalizaci nákladů půjček, k zajištění likvidity v různých měnách, k ochraně rizika měnového portfolia.</w:t>
      </w:r>
    </w:p>
    <w:p w:rsidR="006D0082" w:rsidRDefault="006D0082" w:rsidP="00232BFC">
      <w:pPr>
        <w:rPr>
          <w:rFonts w:ascii="Times New Roman" w:hAnsi="Times New Roman" w:cs="Times New Roman"/>
          <w:sz w:val="24"/>
          <w:szCs w:val="24"/>
        </w:rPr>
      </w:pPr>
      <w:r w:rsidRPr="002D6782">
        <w:rPr>
          <w:rFonts w:ascii="Times New Roman" w:hAnsi="Times New Roman" w:cs="Times New Roman"/>
          <w:b/>
          <w:sz w:val="24"/>
          <w:szCs w:val="24"/>
        </w:rPr>
        <w:t>Futures</w:t>
      </w:r>
      <w:r>
        <w:rPr>
          <w:rFonts w:ascii="Times New Roman" w:hAnsi="Times New Roman" w:cs="Times New Roman"/>
          <w:sz w:val="24"/>
          <w:szCs w:val="24"/>
        </w:rPr>
        <w:t xml:space="preserve"> – jsou devizové termínové kontrakty spočívající ve smluvním ujednání, že</w:t>
      </w:r>
      <w:r w:rsidR="002D6782">
        <w:rPr>
          <w:rFonts w:ascii="Times New Roman" w:hAnsi="Times New Roman" w:cs="Times New Roman"/>
          <w:sz w:val="24"/>
          <w:szCs w:val="24"/>
        </w:rPr>
        <w:t xml:space="preserve"> množství určité devizy bude pr</w:t>
      </w:r>
      <w:r>
        <w:rPr>
          <w:rFonts w:ascii="Times New Roman" w:hAnsi="Times New Roman" w:cs="Times New Roman"/>
          <w:sz w:val="24"/>
          <w:szCs w:val="24"/>
        </w:rPr>
        <w:t>odáno (příp.</w:t>
      </w:r>
      <w:r w:rsidR="001703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 w:rsidR="002D6782">
        <w:rPr>
          <w:rFonts w:ascii="Times New Roman" w:hAnsi="Times New Roman" w:cs="Times New Roman"/>
          <w:sz w:val="24"/>
          <w:szCs w:val="24"/>
        </w:rPr>
        <w:t>oupeno) za předem stanovený kur</w:t>
      </w:r>
      <w:r>
        <w:rPr>
          <w:rFonts w:ascii="Times New Roman" w:hAnsi="Times New Roman" w:cs="Times New Roman"/>
          <w:sz w:val="24"/>
          <w:szCs w:val="24"/>
        </w:rPr>
        <w:t>z v určitý budou</w:t>
      </w:r>
      <w:r w:rsidR="002D6782">
        <w:rPr>
          <w:rFonts w:ascii="Times New Roman" w:hAnsi="Times New Roman" w:cs="Times New Roman"/>
          <w:sz w:val="24"/>
          <w:szCs w:val="24"/>
        </w:rPr>
        <w:t>cí</w:t>
      </w:r>
      <w:r>
        <w:rPr>
          <w:rFonts w:ascii="Times New Roman" w:hAnsi="Times New Roman" w:cs="Times New Roman"/>
          <w:sz w:val="24"/>
          <w:szCs w:val="24"/>
        </w:rPr>
        <w:t xml:space="preserve"> den splatnosti</w:t>
      </w:r>
      <w:r w:rsidR="002D6782">
        <w:rPr>
          <w:rFonts w:ascii="Times New Roman" w:hAnsi="Times New Roman" w:cs="Times New Roman"/>
          <w:sz w:val="24"/>
          <w:szCs w:val="24"/>
        </w:rPr>
        <w:t>.</w:t>
      </w:r>
    </w:p>
    <w:p w:rsidR="006D0082" w:rsidRDefault="006D0082" w:rsidP="00232BFC">
      <w:pPr>
        <w:rPr>
          <w:rFonts w:ascii="Times New Roman" w:hAnsi="Times New Roman" w:cs="Times New Roman"/>
          <w:sz w:val="24"/>
          <w:szCs w:val="24"/>
        </w:rPr>
      </w:pPr>
      <w:r w:rsidRPr="002D6782">
        <w:rPr>
          <w:rFonts w:ascii="Times New Roman" w:hAnsi="Times New Roman" w:cs="Times New Roman"/>
          <w:b/>
          <w:sz w:val="24"/>
          <w:szCs w:val="24"/>
        </w:rPr>
        <w:t>Opce</w:t>
      </w:r>
      <w:r>
        <w:rPr>
          <w:rFonts w:ascii="Times New Roman" w:hAnsi="Times New Roman" w:cs="Times New Roman"/>
          <w:sz w:val="24"/>
          <w:szCs w:val="24"/>
        </w:rPr>
        <w:t xml:space="preserve"> – je kontrakt mezi účastníky, který dává právo kupujícímu kontraktu (nikoliv povinnost) prodat nebo koupit určité množství finančního aktiva za předem dohodnutou cenu k určitému budoucímu datu nebo před tímto datem. Prodávající kontraktu</w:t>
      </w:r>
      <w:r w:rsidR="002D6782">
        <w:rPr>
          <w:rFonts w:ascii="Times New Roman" w:hAnsi="Times New Roman" w:cs="Times New Roman"/>
          <w:sz w:val="24"/>
          <w:szCs w:val="24"/>
        </w:rPr>
        <w:t xml:space="preserve"> (výstavce opce) je zavázán koupit nebo prodat toto finanční aktivum za dohodnutých podmínek podle vůle a rozhodnutí kupujícího kontraktu.</w:t>
      </w:r>
    </w:p>
    <w:p w:rsidR="00170301" w:rsidRDefault="00170301" w:rsidP="00232BFC">
      <w:pPr>
        <w:rPr>
          <w:rFonts w:ascii="Times New Roman" w:hAnsi="Times New Roman" w:cs="Times New Roman"/>
          <w:sz w:val="24"/>
          <w:szCs w:val="24"/>
        </w:rPr>
      </w:pPr>
    </w:p>
    <w:p w:rsidR="002D6782" w:rsidRDefault="002D6782" w:rsidP="00232BFC">
      <w:pPr>
        <w:rPr>
          <w:rFonts w:ascii="Times New Roman" w:hAnsi="Times New Roman" w:cs="Times New Roman"/>
          <w:b/>
          <w:sz w:val="24"/>
          <w:szCs w:val="24"/>
        </w:rPr>
      </w:pPr>
      <w:r w:rsidRPr="002D6782">
        <w:rPr>
          <w:rFonts w:ascii="Times New Roman" w:hAnsi="Times New Roman" w:cs="Times New Roman"/>
          <w:b/>
          <w:sz w:val="24"/>
          <w:szCs w:val="24"/>
        </w:rPr>
        <w:t>Otázky:</w:t>
      </w:r>
    </w:p>
    <w:p w:rsidR="00170301" w:rsidRPr="002D6782" w:rsidRDefault="00170301" w:rsidP="00232BFC">
      <w:pPr>
        <w:rPr>
          <w:rFonts w:ascii="Times New Roman" w:hAnsi="Times New Roman" w:cs="Times New Roman"/>
          <w:b/>
          <w:sz w:val="24"/>
          <w:szCs w:val="24"/>
        </w:rPr>
      </w:pPr>
    </w:p>
    <w:p w:rsidR="002D6782" w:rsidRDefault="002D6782" w:rsidP="002D67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  Jaký je rozdíl mezi valutami a devizami?</w:t>
      </w:r>
    </w:p>
    <w:p w:rsidR="002D6782" w:rsidRDefault="002D6782" w:rsidP="002D67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 Co udává devizový kurz?</w:t>
      </w:r>
    </w:p>
    <w:p w:rsidR="002D6782" w:rsidRDefault="002D6782" w:rsidP="002D67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Čím se liší promptní operace od devizových?</w:t>
      </w:r>
    </w:p>
    <w:p w:rsidR="002D6782" w:rsidRPr="002D6782" w:rsidRDefault="002D6782" w:rsidP="002D67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 Charakterizujte forward, futures, swap, opci.</w:t>
      </w:r>
    </w:p>
    <w:p w:rsidR="006D0082" w:rsidRDefault="006D0082" w:rsidP="00232BFC">
      <w:pPr>
        <w:rPr>
          <w:rFonts w:ascii="Times New Roman" w:hAnsi="Times New Roman" w:cs="Times New Roman"/>
          <w:sz w:val="24"/>
          <w:szCs w:val="24"/>
        </w:rPr>
      </w:pPr>
    </w:p>
    <w:p w:rsidR="00A66FB4" w:rsidRDefault="00A66FB4" w:rsidP="00232BFC">
      <w:pPr>
        <w:rPr>
          <w:rFonts w:ascii="Times New Roman" w:hAnsi="Times New Roman" w:cs="Times New Roman"/>
          <w:sz w:val="24"/>
          <w:szCs w:val="24"/>
        </w:rPr>
      </w:pPr>
    </w:p>
    <w:p w:rsidR="007178BA" w:rsidRDefault="007178BA" w:rsidP="00232BFC">
      <w:pPr>
        <w:rPr>
          <w:rFonts w:ascii="Times New Roman" w:hAnsi="Times New Roman" w:cs="Times New Roman"/>
          <w:b/>
          <w:sz w:val="24"/>
          <w:szCs w:val="24"/>
        </w:rPr>
      </w:pPr>
    </w:p>
    <w:p w:rsidR="007178BA" w:rsidRDefault="00A036C7" w:rsidP="007178B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Zd</w:t>
      </w:r>
      <w:r w:rsidR="007178BA">
        <w:rPr>
          <w:rFonts w:ascii="Times New Roman" w:hAnsi="Times New Roman" w:cs="Times New Roman"/>
          <w:b/>
          <w:sz w:val="24"/>
          <w:szCs w:val="24"/>
        </w:rPr>
        <w:t>r</w:t>
      </w:r>
      <w:r>
        <w:rPr>
          <w:rFonts w:ascii="Times New Roman" w:hAnsi="Times New Roman" w:cs="Times New Roman"/>
          <w:b/>
          <w:sz w:val="24"/>
          <w:szCs w:val="24"/>
        </w:rPr>
        <w:t xml:space="preserve">oje:  </w:t>
      </w:r>
    </w:p>
    <w:p w:rsidR="00A66FB4" w:rsidRPr="007178BA" w:rsidRDefault="007178BA" w:rsidP="007178B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178BA">
        <w:rPr>
          <w:rFonts w:ascii="Times New Roman" w:hAnsi="Times New Roman" w:cs="Times New Roman"/>
          <w:b/>
          <w:sz w:val="72"/>
          <w:szCs w:val="72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36C7" w:rsidRPr="00A036C7">
        <w:rPr>
          <w:rFonts w:ascii="Times New Roman" w:hAnsi="Times New Roman" w:cs="Times New Roman"/>
          <w:sz w:val="24"/>
          <w:szCs w:val="24"/>
        </w:rPr>
        <w:t xml:space="preserve">interní zdroje </w:t>
      </w:r>
      <w:r w:rsidR="00170301">
        <w:rPr>
          <w:rFonts w:ascii="Times New Roman" w:hAnsi="Times New Roman" w:cs="Times New Roman"/>
          <w:sz w:val="24"/>
          <w:szCs w:val="24"/>
        </w:rPr>
        <w:t>eB</w:t>
      </w:r>
      <w:r w:rsidR="00A036C7" w:rsidRPr="00A036C7">
        <w:rPr>
          <w:rFonts w:ascii="Times New Roman" w:hAnsi="Times New Roman" w:cs="Times New Roman"/>
          <w:sz w:val="24"/>
          <w:szCs w:val="24"/>
        </w:rPr>
        <w:t>anka, a.s. (autor neznám)</w:t>
      </w:r>
    </w:p>
    <w:p w:rsidR="00A036C7" w:rsidRPr="00A036C7" w:rsidRDefault="00A036C7" w:rsidP="00232B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sectPr w:rsidR="00A036C7" w:rsidRPr="00A036C7" w:rsidSect="005877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844491"/>
    <w:multiLevelType w:val="hybridMultilevel"/>
    <w:tmpl w:val="8F505F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857D4C"/>
    <w:multiLevelType w:val="hybridMultilevel"/>
    <w:tmpl w:val="20B66D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232BFC"/>
    <w:rsid w:val="0005431E"/>
    <w:rsid w:val="000D6004"/>
    <w:rsid w:val="000F694E"/>
    <w:rsid w:val="001561E3"/>
    <w:rsid w:val="00170301"/>
    <w:rsid w:val="001C6723"/>
    <w:rsid w:val="00232BFC"/>
    <w:rsid w:val="002D6782"/>
    <w:rsid w:val="0038737F"/>
    <w:rsid w:val="00587733"/>
    <w:rsid w:val="006D0082"/>
    <w:rsid w:val="007178BA"/>
    <w:rsid w:val="0076385E"/>
    <w:rsid w:val="0096591D"/>
    <w:rsid w:val="00A036C7"/>
    <w:rsid w:val="00A420CA"/>
    <w:rsid w:val="00A66FB4"/>
    <w:rsid w:val="00B14C96"/>
    <w:rsid w:val="00C42297"/>
    <w:rsid w:val="00CC24C1"/>
    <w:rsid w:val="00D0523A"/>
    <w:rsid w:val="00DF65B4"/>
    <w:rsid w:val="00EB2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773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2BF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03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36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EF7E6D-0ADA-4893-8DE1-C0764B2D6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471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Štěpka</dc:creator>
  <cp:lastModifiedBy>Štěpka</cp:lastModifiedBy>
  <cp:revision>13</cp:revision>
  <dcterms:created xsi:type="dcterms:W3CDTF">2013-02-06T11:29:00Z</dcterms:created>
  <dcterms:modified xsi:type="dcterms:W3CDTF">2013-04-03T19:18:00Z</dcterms:modified>
</cp:coreProperties>
</file>