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20" w:rsidRDefault="00691ECE" w:rsidP="000E3720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691ECE" w:rsidRPr="000C558A" w:rsidTr="003169E7">
        <w:tc>
          <w:tcPr>
            <w:tcW w:w="9212" w:type="dxa"/>
          </w:tcPr>
          <w:p w:rsidR="00691ECE" w:rsidRPr="000C558A" w:rsidRDefault="00691ECE" w:rsidP="003169E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691ECE" w:rsidRPr="000C558A" w:rsidRDefault="00691ECE" w:rsidP="003169E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691ECE" w:rsidRPr="000C558A" w:rsidRDefault="00691ECE" w:rsidP="003169E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691ECE" w:rsidRPr="000C558A" w:rsidTr="003169E7">
        <w:trPr>
          <w:trHeight w:val="875"/>
        </w:trPr>
        <w:tc>
          <w:tcPr>
            <w:tcW w:w="9212" w:type="dxa"/>
            <w:vAlign w:val="center"/>
          </w:tcPr>
          <w:p w:rsidR="00691ECE" w:rsidRPr="000C558A" w:rsidRDefault="00691ECE" w:rsidP="003169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ECE" w:rsidRPr="000C558A" w:rsidTr="003169E7">
        <w:tc>
          <w:tcPr>
            <w:tcW w:w="9212" w:type="dxa"/>
          </w:tcPr>
          <w:p w:rsidR="00691ECE" w:rsidRPr="000C558A" w:rsidRDefault="00691ECE" w:rsidP="003169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691ECE" w:rsidRDefault="00691ECE" w:rsidP="000E3720">
      <w:pPr>
        <w:pStyle w:val="Bezmezer"/>
        <w:rPr>
          <w:b/>
        </w:rPr>
      </w:pPr>
    </w:p>
    <w:p w:rsidR="004F7061" w:rsidRDefault="004F7061" w:rsidP="004F7061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4F7061" w:rsidRDefault="004F7061" w:rsidP="004F7061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="00FF0BE9">
        <w:rPr>
          <w:color w:val="000000"/>
          <w:sz w:val="20"/>
          <w:szCs w:val="20"/>
        </w:rPr>
        <w:t>VY_32_INOVACE_32Igo5</w:t>
      </w:r>
    </w:p>
    <w:p w:rsidR="000E3720" w:rsidRDefault="004F7061" w:rsidP="004F7061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737EA3">
        <w:rPr>
          <w:b/>
          <w:color w:val="000000"/>
          <w:sz w:val="24"/>
          <w:szCs w:val="24"/>
        </w:rPr>
        <w:t xml:space="preserve"> </w:t>
      </w:r>
      <w:r w:rsidR="00737EA3">
        <w:rPr>
          <w:rFonts w:ascii="Times New Roman" w:hAnsi="Times New Roman"/>
          <w:bCs/>
        </w:rPr>
        <w:t>Text, tabulka č. 5.</w:t>
      </w:r>
      <w:r w:rsidR="000E3720">
        <w:rPr>
          <w:b/>
          <w:color w:val="000000"/>
          <w:sz w:val="24"/>
          <w:szCs w:val="24"/>
        </w:rPr>
        <w:tab/>
      </w:r>
      <w:r w:rsidR="000E3720">
        <w:rPr>
          <w:b/>
          <w:color w:val="000000"/>
          <w:sz w:val="24"/>
          <w:szCs w:val="24"/>
        </w:rPr>
        <w:tab/>
      </w:r>
      <w:r w:rsidR="000E3720">
        <w:rPr>
          <w:b/>
          <w:color w:val="000000"/>
          <w:sz w:val="24"/>
          <w:szCs w:val="24"/>
        </w:rPr>
        <w:tab/>
      </w:r>
      <w:r w:rsidR="000E3720">
        <w:rPr>
          <w:b/>
          <w:color w:val="000000"/>
          <w:sz w:val="24"/>
          <w:szCs w:val="24"/>
        </w:rPr>
        <w:tab/>
      </w:r>
    </w:p>
    <w:p w:rsidR="000E3720" w:rsidRDefault="000E3720" w:rsidP="000E372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E3720" w:rsidRDefault="000E3720" w:rsidP="000E372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0E3720" w:rsidRDefault="000E3720" w:rsidP="000E372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E3720" w:rsidRDefault="000E3720" w:rsidP="000E372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E3720" w:rsidRDefault="000E3720" w:rsidP="000E372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E3720" w:rsidRDefault="000E3720" w:rsidP="000E3720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0E3720" w:rsidRDefault="000E3720" w:rsidP="000E3720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Anotace: Materiály slouží nejen jako učební pomůck</w:t>
      </w:r>
      <w:r w:rsidR="00C9713C">
        <w:rPr>
          <w:b/>
          <w:color w:val="000000"/>
          <w:sz w:val="24"/>
          <w:szCs w:val="24"/>
        </w:rPr>
        <w:t>a, ale zároveň jako pomůcka při</w:t>
      </w:r>
      <w:r>
        <w:rPr>
          <w:b/>
          <w:color w:val="000000"/>
          <w:sz w:val="24"/>
          <w:szCs w:val="24"/>
        </w:rPr>
        <w:t xml:space="preserve"> přípravě na státní zkoušky nebo různé formy soutěží</w:t>
      </w:r>
      <w:r>
        <w:rPr>
          <w:b/>
          <w:color w:val="000000"/>
          <w:sz w:val="24"/>
          <w:szCs w:val="24"/>
        </w:rPr>
        <w:tab/>
      </w:r>
    </w:p>
    <w:p w:rsidR="000E3720" w:rsidRDefault="000E3720" w:rsidP="000E3720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0E3720" w:rsidRDefault="000E3720" w:rsidP="000E3720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 w:rsidR="002A137E">
        <w:rPr>
          <w:rFonts w:eastAsia="Times New Roman"/>
        </w:rPr>
        <w:t xml:space="preserve">žák </w:t>
      </w:r>
      <w:r>
        <w:rPr>
          <w:rFonts w:eastAsia="Times New Roman"/>
        </w:rPr>
        <w:t>se trénuje v přesnosti a rychlosti opisu tištěných textů a je schopen po</w:t>
      </w:r>
      <w:r w:rsidR="007E05D2">
        <w:rPr>
          <w:rFonts w:eastAsia="Times New Roman"/>
        </w:rPr>
        <w:t xml:space="preserve">dle norem vypracovat přehledné </w:t>
      </w:r>
      <w:r>
        <w:rPr>
          <w:rFonts w:eastAsia="Times New Roman"/>
        </w:rPr>
        <w:t>a správné tabulky</w:t>
      </w:r>
      <w:r>
        <w:rPr>
          <w:b/>
          <w:color w:val="000000"/>
          <w:sz w:val="24"/>
          <w:szCs w:val="24"/>
        </w:rPr>
        <w:tab/>
      </w:r>
    </w:p>
    <w:p w:rsidR="000E3720" w:rsidRDefault="000E3720" w:rsidP="000E3720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ucelen</w:t>
      </w:r>
      <w:r w:rsidR="00C9713C">
        <w:rPr>
          <w:rFonts w:eastAsia="Times New Roman"/>
        </w:rPr>
        <w:t xml:space="preserve">á kapitola obsahuje na začátku </w:t>
      </w:r>
      <w:r>
        <w:rPr>
          <w:rFonts w:eastAsia="Times New Roman"/>
        </w:rPr>
        <w:t>písemnost pro žáky, kteří na její m základě potom vypracovávají jednotlivé úkoly.  Jedná se v první části o opisy na přesnost a ryc</w:t>
      </w:r>
      <w:r w:rsidR="00C9713C">
        <w:rPr>
          <w:rFonts w:eastAsia="Times New Roman"/>
        </w:rPr>
        <w:t>hlost, kdy jednotliví vyučující</w:t>
      </w:r>
      <w:r>
        <w:rPr>
          <w:rFonts w:eastAsia="Times New Roman"/>
        </w:rPr>
        <w:t xml:space="preserve"> si podle vlastního uvážení zvolí </w:t>
      </w:r>
    </w:p>
    <w:p w:rsidR="000E3720" w:rsidRDefault="000E3720" w:rsidP="000E3720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je úkolem žáka vypracovat</w:t>
      </w:r>
      <w:r w:rsidR="00C9713C">
        <w:rPr>
          <w:rFonts w:eastAsia="Times New Roman"/>
        </w:rPr>
        <w:t xml:space="preserve"> podle</w:t>
      </w:r>
      <w:r>
        <w:rPr>
          <w:rFonts w:eastAsia="Times New Roman"/>
        </w:rPr>
        <w:t xml:space="preserve"> norem tabulku s jednoduchým i složitým záhlavím a doplnit ji o patřičné údaje, které mají povinně obsahovat.</w:t>
      </w:r>
    </w:p>
    <w:p w:rsidR="000E3720" w:rsidRDefault="000E3720" w:rsidP="000E3720">
      <w:pPr>
        <w:pStyle w:val="Bezmezer"/>
        <w:ind w:left="3540" w:hanging="3540"/>
        <w:rPr>
          <w:rFonts w:eastAsia="Times New Roman"/>
        </w:rPr>
      </w:pPr>
    </w:p>
    <w:p w:rsidR="007D65FD" w:rsidRDefault="007D65FD" w:rsidP="007D65FD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7D65FD" w:rsidRDefault="007D65FD" w:rsidP="007D65FD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7D65FD" w:rsidRDefault="007D65FD" w:rsidP="007D65FD">
      <w:pPr>
        <w:pStyle w:val="Nzev"/>
        <w:jc w:val="both"/>
        <w:rPr>
          <w:b w:val="0"/>
          <w:sz w:val="24"/>
          <w:u w:val="none"/>
        </w:rPr>
      </w:pPr>
    </w:p>
    <w:p w:rsidR="007D65FD" w:rsidRDefault="007D65FD" w:rsidP="007D65FD">
      <w:pPr>
        <w:pStyle w:val="Nzev"/>
        <w:jc w:val="both"/>
        <w:rPr>
          <w:b w:val="0"/>
          <w:sz w:val="24"/>
          <w:u w:val="none"/>
        </w:rPr>
      </w:pPr>
    </w:p>
    <w:p w:rsidR="007D65FD" w:rsidRDefault="007D65FD" w:rsidP="007D65FD">
      <w:pPr>
        <w:pStyle w:val="Nzev"/>
        <w:jc w:val="both"/>
        <w:rPr>
          <w:b w:val="0"/>
          <w:sz w:val="24"/>
          <w:u w:val="none"/>
        </w:rPr>
      </w:pPr>
    </w:p>
    <w:p w:rsidR="007D65FD" w:rsidRDefault="007D65FD" w:rsidP="007D65FD">
      <w:pPr>
        <w:pStyle w:val="Nzev"/>
        <w:jc w:val="both"/>
        <w:rPr>
          <w:b w:val="0"/>
          <w:sz w:val="24"/>
          <w:u w:val="none"/>
        </w:rPr>
      </w:pPr>
    </w:p>
    <w:p w:rsidR="007D65FD" w:rsidRDefault="007D65FD" w:rsidP="007D65FD">
      <w:pPr>
        <w:pStyle w:val="Nzev"/>
        <w:jc w:val="both"/>
        <w:rPr>
          <w:b w:val="0"/>
          <w:sz w:val="24"/>
          <w:u w:val="none"/>
        </w:rPr>
      </w:pPr>
    </w:p>
    <w:p w:rsidR="007D65FD" w:rsidRDefault="007D65FD" w:rsidP="007D65FD">
      <w:pPr>
        <w:pStyle w:val="Nzev"/>
        <w:jc w:val="both"/>
        <w:rPr>
          <w:b w:val="0"/>
          <w:sz w:val="24"/>
          <w:u w:val="none"/>
        </w:rPr>
      </w:pPr>
    </w:p>
    <w:p w:rsidR="00A006A9" w:rsidRDefault="00A006A9" w:rsidP="007D65FD">
      <w:pPr>
        <w:pStyle w:val="Nzev"/>
        <w:jc w:val="both"/>
        <w:rPr>
          <w:b w:val="0"/>
          <w:sz w:val="24"/>
          <w:u w:val="none"/>
        </w:rPr>
      </w:pPr>
    </w:p>
    <w:p w:rsidR="00A006A9" w:rsidRDefault="00A006A9" w:rsidP="007D65FD">
      <w:pPr>
        <w:pStyle w:val="Nzev"/>
        <w:jc w:val="both"/>
        <w:rPr>
          <w:b w:val="0"/>
          <w:sz w:val="24"/>
          <w:u w:val="none"/>
        </w:rPr>
      </w:pPr>
    </w:p>
    <w:p w:rsidR="007D65FD" w:rsidRDefault="00404327" w:rsidP="007D65FD">
      <w:pPr>
        <w:pStyle w:val="Nzev"/>
        <w:jc w:val="both"/>
        <w:rPr>
          <w:b w:val="0"/>
          <w:sz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A006A9" w:rsidRDefault="00A006A9" w:rsidP="007D65FD">
      <w:pPr>
        <w:pStyle w:val="Nzev"/>
        <w:jc w:val="both"/>
        <w:rPr>
          <w:b w:val="0"/>
          <w:sz w:val="24"/>
          <w:u w:val="none"/>
        </w:rPr>
      </w:pPr>
    </w:p>
    <w:p w:rsidR="007D65FD" w:rsidRDefault="007D65FD" w:rsidP="00A006A9">
      <w:pPr>
        <w:pStyle w:val="Nadpis3"/>
        <w:shd w:val="clear" w:color="auto" w:fill="FFFFFF"/>
      </w:pPr>
      <w:r>
        <w:lastRenderedPageBreak/>
        <w:t>Nájemné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7D65FD" w:rsidRDefault="007D65FD" w:rsidP="00A006A9">
      <w:pPr>
        <w:pStyle w:val="Nadpis2"/>
        <w:shd w:val="clear" w:color="auto" w:fill="FFFFFF"/>
      </w:pPr>
      <w:r>
        <w:t>Není vůbec pochyb o tom, že bez podstatného zvýšení nájemného         62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jako jednoho z opatření pro řešení bytového problému u nás se        124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neobejdeme. Dokud nájemné nedosáhne takové výše, která by mohla      189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vytvořit z investic do výstavby bytů prosperující podnikání,         250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nebude problém vyřešen. Vhodné řešení nebude však jistě příliš       314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jednoduché, jak by si to mnozí rádi představovali. Toto zvýšení      379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musí být totiž značné. Nájemné ze současných relativně malých        442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bytů, to je bytů dvoupokojových až třípokojových, by muselo za       505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měsíc dosáhnout minimálně pět tisíc korun. To znamená dále, že by    572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hrubé nájemné dosahovalo asi šest až sedm tisíc měsíčně. Tím by      637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výše nájemného přiblížila současnému průměrnému výdělku a tak     702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 značně převýšila průměrný důchod. Takové zvýšení nájemného již    769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není možné vyrovnávat sociálními dávkami. Měli bychom se tedy        832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smířit s tím, že nájemné může narůstat pouze úměrně k nárůstu        894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průměrného výdělku. Ačkoliv naše současné nájemné je značně nízké    961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 hlediska majitelů domů, výše hrubého nájemného je úměrná našim    1026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současným výdělkům. Tento pozůstatek minulého režimu je třeba       1089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respektovat. Bylo to právě nízké nájemné, které umožnilo nízkou     1154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hladinu mezd a důchodů. Představy, že by bylo možné vyřešit výši    1220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nájemného během pěti až šesti let, jsou málo realistické. Ti, kdo   1287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zastávají taková radikální řešení, zřejmě vůbec neuvažují o tom,    1352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jaké důsledky by tato situace mohla mít na inflační vývoj. Přesto   1419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bychom neměli mít obavy z dalšího vývoje bytového problému. Už      1483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začíná vznikat zatím nepříliš velká skupina obyvatel, která si      1546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může dovolit kvalitnější bydlení v rodinných domech nebo v bytech   1611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soukromém vlastnictví. Většina lidí však ještě není připravena    1678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zvýšenou odpovědnost za vlastní bydlení. Naši občané stále       1741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ještě spoléhají především na stát nebo obec. Zatím se tak chovají   1808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 lidé, u nichž je takové jednání překvapující. Prioritou před      1872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bytem je totiž stále auto či dovolená v zahraničí. V současné       1935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době však už na změnu myšlení působí převod bytů do soukromého      1998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vlastnictví. Ale ačkoliv obce jako majitelé bytů tvrdí, že při      2062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současné výši nájemného nedokážou byty spravovat, převádějí byty    2127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 osobního vlastnictví zatím velice pomalu. Zapomíná se na to,     2193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že noví majitelé bytů jsou ochotni dávat daleko více do údržby,     2256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než je současné nájemné. Podnikatelské aktivity se soustředily      2320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zatím na byty luxusního charakteru, jejichž současná nabídka je     2384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vyšší než poptávka. Státní orgány však budou nyní muset přemýšlet   2451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 podnětech k výstavbě bytů v přijatelnější ceně. V kategorii do   2517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jednoho milionu by se určitě počet zájemců potom značně zvýšil.     2581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A006A9" w:rsidRDefault="00A006A9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006A9" w:rsidRDefault="00A006A9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pStyle w:val="Nadpis3"/>
        <w:shd w:val="clear" w:color="auto" w:fill="FFFFFF"/>
      </w:pPr>
      <w:r>
        <w:lastRenderedPageBreak/>
        <w:t>Uspořádání kancelářských prostor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7D65FD" w:rsidRDefault="007D65FD" w:rsidP="00A006A9">
      <w:pPr>
        <w:pStyle w:val="Nadpis2"/>
        <w:shd w:val="clear" w:color="auto" w:fill="FFFFFF"/>
      </w:pPr>
      <w:r>
        <w:t>Některé velké zahraniční společnosti zavádějí v současné době         62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novou metodu uspořádání kancelářských prostor. Nový způsob má        124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lépe vyhovovat progresivním koncepcím v oblasti řízení. Stále        188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rostoucí nároky na kvalitní kancelářské prostory, ceny místností,    254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které se ve městech pohybují v nemalých částkách, vedou majitele     319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společností k častějšímu uplatnění nových, ale především velmi       382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efektivních metod prostorového plánování. Jednou z nich je tak       446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zvaná pružná kancelář. To je takový způsob uspořádání kanceláře,     512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který umožní společnostem s velkým počtem zaměstnanců pracujících    578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projektech mimo hlavní kancelář dokonaleji využívat pracovních    644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prostor a následně tím samozřejmě také značně snižovat náklady.      798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Pracovníci takového společnosti se v zásadě dělí na dvě skupiny.     774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jedné z nich jsou sekretářky, účetní, personalisté, technici       838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pečující o infrastrukturu, prostě všichni ti, kteří společnosti      902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vytvářejí zázemí. Způsob jejich práce vyžaduje klasické pevné        965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místo v kanceláři. Do druhé skupiny pak patří odborní pracovníci,   1032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kteří z více než osmdesáti procent pracují přímo u klientů. Bylo    1098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 proto velmi nehospodárné, kdyby každý z nich měl v mateřské      1161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budově své stálé pracovní místo. Je ovšem samozřejmé, že po dobu,   1228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kterou v kanceláři tráví, musí své zázemí mít. Získávají ho velmi   1293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jednoduše. K tomuto účelu jim poslouží rezervační systém, který     1357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ovládán počítačem a který umožní pracovníkovi objednat si na     1421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určitou dobu pracovní místo v hlavní budově. Pracovník má ovšem     1486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 usednutí k přidělenému pracovnímu stolu a po přihlášení se do    1551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telefonu a do počítačové sítě zajištěny všechny individuální        1612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služby, jako by seděl u stolu trvale používaného. Systém pružné     1677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kanceláře je výhodný i v časově limitovaných týmových projektech,   1743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kdy skupina odborníků potřebuje pracovat určitou dobu na nějakém    1808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společném projektu. Tento nový koncept organizace pracovních míst   1875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dovoluje přitom povolat správné lidi v pravý čas na pravé místo,    1940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to vše s maximální efektivností a za minimálních nákladů. Podle   2007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propočtů vedení těchto zahraničních společností mohou dnešní        2068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prostory být dostatečné i pro mnohem více odborných pracovníků,     2132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kteří budou podle očekávání pracovat také v novém tisíciletí.       2193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Počítá se totiž s tím, že většina těchto odborných zaměstnanců      2257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stráví přibližně osmdesát procent času u klientů společnosti.       2319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Také v naší republice po poradě s mezinárodní firmou, která         2380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poskytuje odborné služby v oblasti strategického a informačního     2444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poradenství, integrace systémů a řízení změn, byla od samých        2504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začátků zavedena taková pružná organizace v novém Tančícím domě.    2571</w:t>
      </w: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A006A9" w:rsidRDefault="00A006A9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006A9" w:rsidRDefault="00A006A9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006A9" w:rsidRDefault="00A006A9" w:rsidP="00A006A9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D65FD" w:rsidRDefault="007D65FD" w:rsidP="007D65FD">
      <w:pPr>
        <w:pStyle w:val="Zkladntext"/>
        <w:rPr>
          <w:u w:val="single"/>
        </w:rPr>
      </w:pPr>
      <w:r>
        <w:rPr>
          <w:u w:val="single"/>
        </w:rPr>
        <w:lastRenderedPageBreak/>
        <w:t>Průměrné mzdy zaměstnanců</w:t>
      </w:r>
    </w:p>
    <w:p w:rsidR="007D65FD" w:rsidRDefault="007D65FD" w:rsidP="007D65FD">
      <w:pPr>
        <w:pStyle w:val="Zkladntext"/>
        <w:rPr>
          <w:u w:val="single"/>
        </w:rPr>
      </w:pPr>
    </w:p>
    <w:p w:rsidR="00A006A9" w:rsidRDefault="007D65FD" w:rsidP="00A006A9">
      <w:pPr>
        <w:pStyle w:val="Zkladntext"/>
      </w:pPr>
      <w:r>
        <w:t xml:space="preserve">     Podle výsledků výzkumu Českého statistického úřadu, uveřejněných v lednu tohoto roku, vykazovaly jednotlivé kraje České republiky v první pololetí loňského a předloňského roku následující průměrné mzdy zaměstnanců v institucích svého území a jejich následující procentní růst: Praha – 16 055; 17 605; 9,7. Středočeský – 13 084; 14 002; 7,0. Jihočeský – </w:t>
      </w:r>
      <w:r w:rsidR="00A006A9">
        <w:t>11 589; 12 587; 8,6. Plzeňský – 12 034; 13 264; 10,2. Karlovarský – 11 109; 12 050; 8,6. Ústecký – 11 962; 12 940; 6,2. Liberecký – 11 573; 12 712; 9,8. Královéhradecký – 11 339; 12 354; 9,6. Pardubický – 11 067; 12 124; 9,4. Vysočina – 10 703; 11 955; 11,7. Jihomoravský – 11 451; 12 504; 9,2. Olomoucký – 10 953; 11 873; 8,4. Zlínský – 11 347; 12 435; 9,6. Moravskoslezský – 12 099; 13 326; 10,1.</w:t>
      </w:r>
    </w:p>
    <w:p w:rsidR="00A006A9" w:rsidRDefault="00A006A9" w:rsidP="00A006A9"/>
    <w:p w:rsidR="00A006A9" w:rsidRDefault="00A006A9" w:rsidP="00A006A9">
      <w:pPr>
        <w:pStyle w:val="Zkladntext"/>
      </w:pPr>
    </w:p>
    <w:p w:rsidR="007D65FD" w:rsidRDefault="007D65FD" w:rsidP="007D65FD">
      <w:pPr>
        <w:pStyle w:val="Zkladntext"/>
      </w:pPr>
    </w:p>
    <w:p w:rsidR="00F22CA3" w:rsidRDefault="00F22CA3"/>
    <w:sectPr w:rsidR="00F22CA3" w:rsidSect="00A006A9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155" w:rsidRDefault="004C5155" w:rsidP="003D791C">
      <w:pPr>
        <w:spacing w:after="0" w:line="240" w:lineRule="auto"/>
      </w:pPr>
      <w:r>
        <w:separator/>
      </w:r>
    </w:p>
  </w:endnote>
  <w:endnote w:type="continuationSeparator" w:id="1">
    <w:p w:rsidR="004C5155" w:rsidRDefault="004C5155" w:rsidP="003D7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155" w:rsidRDefault="004C5155" w:rsidP="003D791C">
      <w:pPr>
        <w:spacing w:after="0" w:line="240" w:lineRule="auto"/>
      </w:pPr>
      <w:r>
        <w:separator/>
      </w:r>
    </w:p>
  </w:footnote>
  <w:footnote w:type="continuationSeparator" w:id="1">
    <w:p w:rsidR="004C5155" w:rsidRDefault="004C5155" w:rsidP="003D79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65FD"/>
    <w:rsid w:val="00016F5D"/>
    <w:rsid w:val="0004643E"/>
    <w:rsid w:val="00046454"/>
    <w:rsid w:val="0004726B"/>
    <w:rsid w:val="000E3720"/>
    <w:rsid w:val="00175C7A"/>
    <w:rsid w:val="002A137E"/>
    <w:rsid w:val="003B02DC"/>
    <w:rsid w:val="003D791C"/>
    <w:rsid w:val="00404327"/>
    <w:rsid w:val="004315E8"/>
    <w:rsid w:val="00455C1E"/>
    <w:rsid w:val="004C5155"/>
    <w:rsid w:val="004F7061"/>
    <w:rsid w:val="00544442"/>
    <w:rsid w:val="006577E5"/>
    <w:rsid w:val="00691ECE"/>
    <w:rsid w:val="0073629A"/>
    <w:rsid w:val="00737EA3"/>
    <w:rsid w:val="00791B36"/>
    <w:rsid w:val="007B08F5"/>
    <w:rsid w:val="007B745B"/>
    <w:rsid w:val="007D65FD"/>
    <w:rsid w:val="007E05D2"/>
    <w:rsid w:val="00845F0D"/>
    <w:rsid w:val="008D273D"/>
    <w:rsid w:val="00A006A9"/>
    <w:rsid w:val="00AA2EB3"/>
    <w:rsid w:val="00B72245"/>
    <w:rsid w:val="00C93746"/>
    <w:rsid w:val="00C9713C"/>
    <w:rsid w:val="00D55BFE"/>
    <w:rsid w:val="00E059A1"/>
    <w:rsid w:val="00E73FC7"/>
    <w:rsid w:val="00E802E7"/>
    <w:rsid w:val="00EA57F5"/>
    <w:rsid w:val="00ED141C"/>
    <w:rsid w:val="00F22CA3"/>
    <w:rsid w:val="00F327F1"/>
    <w:rsid w:val="00FF0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65FD"/>
  </w:style>
  <w:style w:type="paragraph" w:styleId="Nadpis2">
    <w:name w:val="heading 2"/>
    <w:basedOn w:val="Normln"/>
    <w:next w:val="Normln"/>
    <w:link w:val="Nadpis2Char"/>
    <w:qFormat/>
    <w:rsid w:val="007D65FD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7D65FD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7D65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7D65FD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7D65FD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5FD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7D65FD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7D65FD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7D65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7D65F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3D7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D791C"/>
  </w:style>
  <w:style w:type="paragraph" w:styleId="Zpat">
    <w:name w:val="footer"/>
    <w:basedOn w:val="Normln"/>
    <w:link w:val="ZpatChar"/>
    <w:uiPriority w:val="99"/>
    <w:semiHidden/>
    <w:unhideWhenUsed/>
    <w:rsid w:val="003D7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D79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5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1238</Words>
  <Characters>7308</Characters>
  <Application>Microsoft Office Word</Application>
  <DocSecurity>0</DocSecurity>
  <Lines>60</Lines>
  <Paragraphs>17</Paragraphs>
  <ScaleCrop>false</ScaleCrop>
  <Company/>
  <LinksUpToDate>false</LinksUpToDate>
  <CharactersWithSpaces>8529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22</cp:revision>
  <dcterms:created xsi:type="dcterms:W3CDTF">2013-07-03T06:47:00Z</dcterms:created>
  <dcterms:modified xsi:type="dcterms:W3CDTF">2014-01-21T20:00:00Z</dcterms:modified>
</cp:coreProperties>
</file>