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682" w:rsidRDefault="002F2E0C" w:rsidP="00DC2682">
      <w:pPr>
        <w:pStyle w:val="Bezmezer"/>
        <w:rPr>
          <w:b/>
        </w:rPr>
      </w:pPr>
      <w:r w:rsidRPr="002F2E0C">
        <w:rPr>
          <w:b/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2F2E0C" w:rsidRPr="000C558A" w:rsidTr="00621709">
        <w:tc>
          <w:tcPr>
            <w:tcW w:w="9212" w:type="dxa"/>
          </w:tcPr>
          <w:p w:rsidR="002F2E0C" w:rsidRPr="000C558A" w:rsidRDefault="002F2E0C" w:rsidP="0062170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2F2E0C" w:rsidRPr="000C558A" w:rsidRDefault="002F2E0C" w:rsidP="00621709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2F2E0C" w:rsidRPr="000C558A" w:rsidRDefault="002F2E0C" w:rsidP="00621709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2F2E0C" w:rsidRPr="000C558A" w:rsidTr="00621709">
        <w:trPr>
          <w:trHeight w:val="875"/>
        </w:trPr>
        <w:tc>
          <w:tcPr>
            <w:tcW w:w="9212" w:type="dxa"/>
            <w:vAlign w:val="center"/>
          </w:tcPr>
          <w:p w:rsidR="002F2E0C" w:rsidRPr="000C558A" w:rsidRDefault="002F2E0C" w:rsidP="0062170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2E0C" w:rsidRPr="000C558A" w:rsidTr="00621709">
        <w:tc>
          <w:tcPr>
            <w:tcW w:w="9212" w:type="dxa"/>
          </w:tcPr>
          <w:p w:rsidR="002F2E0C" w:rsidRPr="000C558A" w:rsidRDefault="002F2E0C" w:rsidP="0062170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2F2E0C" w:rsidRDefault="002F2E0C" w:rsidP="00DC2682">
      <w:pPr>
        <w:pStyle w:val="Bezmezer"/>
        <w:rPr>
          <w:b/>
        </w:rPr>
      </w:pPr>
    </w:p>
    <w:p w:rsidR="008F380A" w:rsidRDefault="008F380A" w:rsidP="008F380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8F380A" w:rsidRDefault="008F380A" w:rsidP="008F380A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350FA3">
        <w:rPr>
          <w:color w:val="000000"/>
          <w:sz w:val="20"/>
          <w:szCs w:val="20"/>
        </w:rPr>
        <w:t>VY_32_INOVACE_32Igo6</w:t>
      </w:r>
    </w:p>
    <w:p w:rsidR="00DC2682" w:rsidRDefault="008F380A" w:rsidP="008F380A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7333AE">
        <w:rPr>
          <w:b/>
          <w:color w:val="000000"/>
          <w:sz w:val="24"/>
          <w:szCs w:val="24"/>
        </w:rPr>
        <w:t xml:space="preserve"> </w:t>
      </w:r>
      <w:r w:rsidR="007333AE">
        <w:rPr>
          <w:rFonts w:ascii="Times New Roman" w:hAnsi="Times New Roman"/>
          <w:bCs/>
        </w:rPr>
        <w:t>Text, tabulka č. 6.</w:t>
      </w:r>
      <w:r w:rsidR="00DC2682">
        <w:rPr>
          <w:b/>
          <w:color w:val="000000"/>
          <w:sz w:val="24"/>
          <w:szCs w:val="24"/>
        </w:rPr>
        <w:tab/>
      </w:r>
      <w:r w:rsidR="00DC2682">
        <w:rPr>
          <w:b/>
          <w:color w:val="000000"/>
          <w:sz w:val="24"/>
          <w:szCs w:val="24"/>
        </w:rPr>
        <w:tab/>
      </w:r>
      <w:r w:rsidR="00DC2682">
        <w:rPr>
          <w:b/>
          <w:color w:val="000000"/>
          <w:sz w:val="24"/>
          <w:szCs w:val="24"/>
        </w:rPr>
        <w:tab/>
      </w:r>
      <w:r w:rsidR="00DC2682"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DC2682" w:rsidRDefault="00DC2682" w:rsidP="00DC268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A10C5B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3C3EB6">
        <w:rPr>
          <w:rFonts w:eastAsia="Times New Roman"/>
        </w:rPr>
        <w:t>žák</w:t>
      </w:r>
      <w:r>
        <w:rPr>
          <w:rFonts w:eastAsia="Times New Roman"/>
        </w:rPr>
        <w:t xml:space="preserve"> se trénuje v přesnosti a rychlosti opisu tištěných textů a je schopen po</w:t>
      </w:r>
      <w:r w:rsidR="00CB1870">
        <w:rPr>
          <w:rFonts w:eastAsia="Times New Roman"/>
        </w:rPr>
        <w:t xml:space="preserve">dle norem vypracovat přehledné </w:t>
      </w:r>
      <w:r>
        <w:rPr>
          <w:rFonts w:eastAsia="Times New Roman"/>
        </w:rPr>
        <w:t>a správné tabulky</w:t>
      </w:r>
      <w:r>
        <w:rPr>
          <w:b/>
          <w:color w:val="000000"/>
          <w:sz w:val="24"/>
          <w:szCs w:val="24"/>
        </w:rPr>
        <w:tab/>
      </w:r>
    </w:p>
    <w:p w:rsidR="00DC2682" w:rsidRDefault="00DC2682" w:rsidP="00DC268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</w:t>
      </w:r>
      <w:r w:rsidR="00A10C5B">
        <w:rPr>
          <w:rFonts w:eastAsia="Times New Roman"/>
        </w:rPr>
        <w:t>ná kapitola obsahuje na začátku</w:t>
      </w:r>
      <w:r>
        <w:rPr>
          <w:rFonts w:eastAsia="Times New Roman"/>
        </w:rPr>
        <w:t xml:space="preserve"> písemnost pro žáky, kteří na její m základě potom vypracovávají jednotlivé úkoly.  Jedná se v první části o opisy na přesnost a rych</w:t>
      </w:r>
      <w:r w:rsidR="00A10C5B">
        <w:rPr>
          <w:rFonts w:eastAsia="Times New Roman"/>
        </w:rPr>
        <w:t xml:space="preserve">lost, kdy jednotliví vyučující </w:t>
      </w:r>
      <w:r>
        <w:rPr>
          <w:rFonts w:eastAsia="Times New Roman"/>
        </w:rPr>
        <w:t xml:space="preserve">si podle vlastního uvážení zvolí </w:t>
      </w:r>
    </w:p>
    <w:p w:rsidR="00DC2682" w:rsidRDefault="00DC2682" w:rsidP="00DC2682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>Dále ve druhé část je úkolem žáka vypracovat</w:t>
      </w:r>
      <w:r w:rsidR="00A10C5B">
        <w:rPr>
          <w:rFonts w:eastAsia="Times New Roman"/>
        </w:rPr>
        <w:t xml:space="preserve"> podle </w:t>
      </w:r>
      <w:r>
        <w:rPr>
          <w:rFonts w:eastAsia="Times New Roman"/>
        </w:rPr>
        <w:t>norem tabulku s jednoduchým i složitým záhlavím a doplnit ji o patřičné údaje, které mají povinně obsahovat.</w:t>
      </w:r>
    </w:p>
    <w:p w:rsidR="00DC2682" w:rsidRDefault="00DC2682" w:rsidP="00DC2682">
      <w:pPr>
        <w:pStyle w:val="Bezmezer"/>
        <w:ind w:left="3540" w:hanging="3540"/>
        <w:rPr>
          <w:rFonts w:eastAsia="Times New Roman"/>
        </w:rPr>
      </w:pPr>
    </w:p>
    <w:p w:rsidR="00B92732" w:rsidRDefault="00B92732" w:rsidP="00B92732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B92732" w:rsidRDefault="00B92732" w:rsidP="00B92732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B92732" w:rsidRDefault="00B92732" w:rsidP="00B92732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151808" w:rsidP="00B92732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AB643A" w:rsidRDefault="00AB643A" w:rsidP="00B92732">
      <w:pPr>
        <w:pStyle w:val="Nzev"/>
        <w:jc w:val="both"/>
        <w:rPr>
          <w:b w:val="0"/>
          <w:sz w:val="24"/>
          <w:u w:val="none"/>
        </w:rPr>
      </w:pPr>
    </w:p>
    <w:p w:rsidR="00B92732" w:rsidRDefault="00B92732" w:rsidP="00AB643A">
      <w:pPr>
        <w:pStyle w:val="Nadpis3"/>
        <w:shd w:val="clear" w:color="auto" w:fill="FFFFFF"/>
      </w:pPr>
      <w:r>
        <w:lastRenderedPageBreak/>
        <w:t>Kurzové riziko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B92732" w:rsidRDefault="00B92732" w:rsidP="00AB643A">
      <w:pPr>
        <w:pStyle w:val="Nadpis2"/>
        <w:shd w:val="clear" w:color="auto" w:fill="FFFFFF"/>
      </w:pPr>
      <w:r>
        <w:t>Téměř s každým záměrem bývá spojeno vysoké riziko, že výsledek        64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plánované lidské činnosti nedopadne podle původních představ a       127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přání. Nejčastěji používáme tohoto výrazu tehdy, jestliže jde        191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 souvislost s aktivitami na finančních a kapitálových trzích.       253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Riziko podstupujeme ovšem vlastně už tím, že vlastníme peníze.       317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Nebezpečí rizika při držení hotových peněz má několik podob.         379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Jestliže pomineme možnost ztráty nebo odcizení, je nejvážnějším      444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nebezpečím inflace, která každým rokem ukrajuje z hodnoty peněz      508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například v naší republice průměrně deset procent. S inflací         570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poměrně úzce souvisí riziko možné změny směnných relací v poměru     635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zahraničním měnám. Snižuje jednak naši koupěschopnost v cizině     701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zprostředkovaně potom i u nás doma, protože k nám dovážíme         762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zboží ze zahraničí. Tento faktor je označován názvem kurzové         824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riziko. Kurzové riziko označuje tedy nebezpečí, které plyne ze       888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změny měnového kurzu. Zhodnocení domácí měny poškozuje vývozce,      953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znehodnocení naopak dovozce. Nebezpečí pohybu měnových kurzů vede   1020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především velké společnosti, jejichž činnost přesahuje národní      1083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hranice, do bankovních ústavů, které proti němu nabízejí ochranu.   1149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 však nutno upozornit, že v našich podmínkách je ochrana proti    1215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kurzovému riziku velmi nákladnou záležitostí. Další negativní       1278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vliv na hotové peníze může mít měnová reforma. V naší republice     1343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byla např. taková měnová reforma provedena na začátku padesátých    1408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let. Toto riziko se však v dnešních poměrech ve světě řadí k těm    1474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nejmenším. Je ovšem třeba říci, že všechny finanční instrumenty     1539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nesou s sebou větší či menší riziko. Přitom nejbezpečnější formou   1606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ukládání nebo investování peněz jsou státní cenné papíry. Mezi ně   1673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můžeme řadit dluhopisy, směnky nebo obligace. Na druhém místě       1736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téměř stejně bezpečné jsou běžné vklady u solidních bank, jejich    1801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obligace a obligace velkých podniků. Více rizika už s sebou nesou   1868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investice do akcií a především do podnikání. Přitom nebezpečí       1931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souvisejícímu s pohybem cen akcií je možno se vyhnout nákupem       1993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podílových listů zavedených podílových fondů. Tyto fondy totiž      2057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riziko rozkládají šíří svých investic. V souvislosti s možnými      2121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zahraničními investicemi je nutno zmínit se ještě kromě kurzového   2187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rizika i o riziku komerčním, teritoriálním a politickém. Mezi       2250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komerční rizika musíme započítat možnost nezaplacení dodávek,       2312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nedodání zaplaceného zboží a podobně. Do teritoriálního rizika      2376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musíme započítávat riziko následků války v těch regionech, které    2441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jsou válkou ohroženy. Konečně do politického rizika je třeba        2503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započítat také možné zavedení obchodních a politických bariér.      2566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AB643A" w:rsidRDefault="00AB643A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B643A" w:rsidRDefault="00AB643A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pStyle w:val="Nadpis3"/>
        <w:shd w:val="clear" w:color="auto" w:fill="FFFFFF"/>
      </w:pPr>
      <w:r>
        <w:lastRenderedPageBreak/>
        <w:t>Zaměstnanost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B92732" w:rsidRDefault="00B92732" w:rsidP="00AB643A">
      <w:pPr>
        <w:pStyle w:val="Nadpis2"/>
        <w:shd w:val="clear" w:color="auto" w:fill="FFFFFF"/>
      </w:pPr>
      <w:r>
        <w:t>V mezinárodním srovnání již naše republika nepatří k zemím, které     66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mohou pochlubit výjimečně nízkou nezaměstnaností. Přesto však     132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také ona stala v posledních letech zemí s výrazně imigračním      196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charakterem. Je cílovou zemí pro legální, ale také pro nelegální     262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migraci pracovních sil. Pracovní síly k nám přicházejí především     328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 těch zemí střední a východní Evropy, které právě procházejí        391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transformačním procesem. Nelze však pominout také skutečnost, že     457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nyní k nám přicházejí i pracovníci určitých profesí z vyspělých      520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zemí Evropské unie. V současné době přesáhl počet cizinců, kteří     587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 nás legálně pracují, šedesát tisíc osob a má stále ještě jasně     652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vzestupný trend. Přitom nejsou do tohoto počtu vůbec začleněni       716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slovenští občané. V poslední době bylo u nás nejvíce pracovních      781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povolení udělováno ukrajinským, polským a bulharským občanům. Ve     847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většině případů se přitom jednalo o dělnické profese. Ze zemí        910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Evropské unie je u nás zaměstnáno v současnosti nejvíce německých    977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pracovníků, většina rovněž v dělnických povoláních. Nelegální       1040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pracovní migrace se odhaduje zhruba na dvojnásobek a většinou se    1105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týká ukrajinských, ruských a vietnamských občanů. Mezi zeměmi       1168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Evropské unie a naší republikou existuje v nynější době nevelký     1233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oboustranný migrační pohyb, který je co do kvantity navzájem dost   1299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vyrovnaný. Ani rostoucí nezaměstnanost zatím nevytvořila v naší     1364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republice významnější skupinu osob, které by usilovaly o pracovní   1430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migraci do zemí Evropské unie. Ale ani státy Evropské unie nemají   1499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zájem o větší příliv zahraničních zaměstnanců a snaží se důsledně   1565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omezovat legální pracovní migraci pomocí individuálních povolení.   1631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Naši občané, kteří by ve státech Evropské unie chtěli pracovat,     1697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musí být připraveni na to, že šanci uplatnit se mají nyní pouze     1761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při sezónních pracích, ve stavebnictví, případně na nejrůznějších   1827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stážích. Velmi výrazně se například omezilo i denní dojíždění za    1893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prací do příhraničních okresů německých a rakouských. To se ovšem   1960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ihned projevilo značným nárůstem míry nezaměstnanosti v našich      2023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pohraničních okresech. Mezi hlavními důvody, které vedly státy      2087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Evropské unie k zmrazení růstu mezistátní pracovní migrace, patří   2154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zejména nárůst počtu dlouhodobě nezaměstnaných, zvýšení míry        2215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nezaměstnanosti osob určitých věkových kategorií, to znamená lidí   2281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 pětadvaceti let a nad pětačtyřicet let věku. Hospodářské a       2344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sociální procesy integrace členských zemí Evropské unie vedou       2407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nyní v oblasti volného pohybu pracovních sil k paradoxu, to jest    2472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 liberalizace trhu práce uvnitř států Unie, ale k jeho uzavření    2538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ochraně vůči méně vyspělým zemím stojícím mimo Evropskou unii.    2604</w:t>
      </w: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 xml:space="preserve">....,....1....,....2....,....3....,....4....,....5....,....6....,  </w:t>
      </w:r>
    </w:p>
    <w:p w:rsidR="00AB643A" w:rsidRDefault="00AB643A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B643A" w:rsidRDefault="00AB643A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AB643A" w:rsidRDefault="00AB643A" w:rsidP="00AB643A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92732" w:rsidRDefault="00B92732" w:rsidP="00AB643A">
      <w:pPr>
        <w:pStyle w:val="Zkladntext"/>
        <w:rPr>
          <w:u w:val="single"/>
        </w:rPr>
      </w:pPr>
      <w:r>
        <w:rPr>
          <w:u w:val="single"/>
        </w:rPr>
        <w:lastRenderedPageBreak/>
        <w:t>Alkoholické nápoje</w:t>
      </w:r>
    </w:p>
    <w:p w:rsidR="00B92732" w:rsidRDefault="00B92732" w:rsidP="00AB643A">
      <w:pPr>
        <w:pStyle w:val="Zkladntext"/>
        <w:rPr>
          <w:u w:val="single"/>
        </w:rPr>
      </w:pPr>
    </w:p>
    <w:p w:rsidR="00B92732" w:rsidRDefault="00B92732" w:rsidP="00AB643A">
      <w:pPr>
        <w:pStyle w:val="Zkladntext"/>
      </w:pPr>
      <w:r>
        <w:t xml:space="preserve">     Sestavte do přehledné tabulky údaje o spotřebě alkoholických nápojů na jednoho obyvatele České republiky v letech 2003 – 2006. Spotřeba lihovin (40 %) byla v roce 2003 8,4 l, v roce 2004 7,6 l, v roce 2005 7,8 l, v roce 2006 8,0 l a index 2005/2006 je 103,2 %- Víno hroznové – 13,9; 14,1; 14,4; 14,8; 103,0. Víno ostatní – 2,4; 2,4; 2,4; 2,4; 100,0. Pivo – 161,7; 160,,5; 163,5; 159,1; 97,3. Celkem – 186,4; 184,6; 188,1; 184,3; 98,0. Údaje zpracoval Český statistický úřad v roce 2007.</w:t>
      </w:r>
    </w:p>
    <w:p w:rsidR="00B92732" w:rsidRDefault="00B92732" w:rsidP="00AB643A">
      <w:pPr>
        <w:spacing w:after="0" w:line="240" w:lineRule="auto"/>
      </w:pPr>
    </w:p>
    <w:p w:rsidR="00F22CA3" w:rsidRDefault="00F22CA3" w:rsidP="00AB643A">
      <w:pPr>
        <w:spacing w:after="0" w:line="240" w:lineRule="auto"/>
      </w:pPr>
    </w:p>
    <w:sectPr w:rsidR="00F22CA3" w:rsidSect="00AB643A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F2C" w:rsidRDefault="00077F2C" w:rsidP="000A0F70">
      <w:pPr>
        <w:spacing w:after="0" w:line="240" w:lineRule="auto"/>
      </w:pPr>
      <w:r>
        <w:separator/>
      </w:r>
    </w:p>
  </w:endnote>
  <w:endnote w:type="continuationSeparator" w:id="1">
    <w:p w:rsidR="00077F2C" w:rsidRDefault="00077F2C" w:rsidP="000A0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F2C" w:rsidRDefault="00077F2C" w:rsidP="000A0F70">
      <w:pPr>
        <w:spacing w:after="0" w:line="240" w:lineRule="auto"/>
      </w:pPr>
      <w:r>
        <w:separator/>
      </w:r>
    </w:p>
  </w:footnote>
  <w:footnote w:type="continuationSeparator" w:id="1">
    <w:p w:rsidR="00077F2C" w:rsidRDefault="00077F2C" w:rsidP="000A0F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92732"/>
    <w:rsid w:val="00016F5D"/>
    <w:rsid w:val="00077F2C"/>
    <w:rsid w:val="000A0F70"/>
    <w:rsid w:val="00151808"/>
    <w:rsid w:val="001B3B5F"/>
    <w:rsid w:val="001D27D2"/>
    <w:rsid w:val="002F2E0C"/>
    <w:rsid w:val="00314DAE"/>
    <w:rsid w:val="00350FA3"/>
    <w:rsid w:val="003C3EB6"/>
    <w:rsid w:val="00422BB7"/>
    <w:rsid w:val="004606AA"/>
    <w:rsid w:val="004952B8"/>
    <w:rsid w:val="004B048C"/>
    <w:rsid w:val="00526956"/>
    <w:rsid w:val="005D7B2C"/>
    <w:rsid w:val="00707528"/>
    <w:rsid w:val="007333AE"/>
    <w:rsid w:val="00845F0D"/>
    <w:rsid w:val="00894B04"/>
    <w:rsid w:val="008D4133"/>
    <w:rsid w:val="008F380A"/>
    <w:rsid w:val="0093326F"/>
    <w:rsid w:val="00A10C5B"/>
    <w:rsid w:val="00AB643A"/>
    <w:rsid w:val="00B92732"/>
    <w:rsid w:val="00BF3D0F"/>
    <w:rsid w:val="00C25F62"/>
    <w:rsid w:val="00C61521"/>
    <w:rsid w:val="00C86A39"/>
    <w:rsid w:val="00CB1870"/>
    <w:rsid w:val="00D01A03"/>
    <w:rsid w:val="00D06807"/>
    <w:rsid w:val="00DC2682"/>
    <w:rsid w:val="00E159B2"/>
    <w:rsid w:val="00EB6085"/>
    <w:rsid w:val="00EF7871"/>
    <w:rsid w:val="00F22CA3"/>
    <w:rsid w:val="00F400C3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2732"/>
  </w:style>
  <w:style w:type="paragraph" w:styleId="Nadpis2">
    <w:name w:val="heading 2"/>
    <w:basedOn w:val="Normln"/>
    <w:next w:val="Normln"/>
    <w:link w:val="Nadpis2Char"/>
    <w:qFormat/>
    <w:rsid w:val="00B92732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B92732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B9273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B92732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B92732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27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2732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B92732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B92732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B9273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B92732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A0F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A0F70"/>
  </w:style>
  <w:style w:type="paragraph" w:styleId="Zpat">
    <w:name w:val="footer"/>
    <w:basedOn w:val="Normln"/>
    <w:link w:val="ZpatChar"/>
    <w:uiPriority w:val="99"/>
    <w:semiHidden/>
    <w:unhideWhenUsed/>
    <w:rsid w:val="000A0F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A0F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1197</Words>
  <Characters>7065</Characters>
  <Application>Microsoft Office Word</Application>
  <DocSecurity>0</DocSecurity>
  <Lines>58</Lines>
  <Paragraphs>16</Paragraphs>
  <ScaleCrop>false</ScaleCrop>
  <Company/>
  <LinksUpToDate>false</LinksUpToDate>
  <CharactersWithSpaces>8246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22</cp:revision>
  <dcterms:created xsi:type="dcterms:W3CDTF">2013-07-03T06:48:00Z</dcterms:created>
  <dcterms:modified xsi:type="dcterms:W3CDTF">2014-01-21T19:59:00Z</dcterms:modified>
</cp:coreProperties>
</file>