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16B7" w:rsidRPr="006C664F" w:rsidRDefault="002516B7" w:rsidP="002516B7">
      <w:pPr>
        <w:spacing w:after="200" w:line="276" w:lineRule="auto"/>
        <w:rPr>
          <w:rFonts w:ascii="Calibri" w:eastAsia="Calibri" w:hAnsi="Calibri"/>
          <w:sz w:val="22"/>
          <w:szCs w:val="22"/>
          <w:lang w:eastAsia="en-US"/>
        </w:rPr>
      </w:pPr>
      <w:r>
        <w:rPr>
          <w:rFonts w:ascii="Calibri" w:eastAsia="Calibri" w:hAnsi="Calibri"/>
          <w:noProof/>
          <w:sz w:val="22"/>
          <w:szCs w:val="22"/>
        </w:rPr>
        <w:drawing>
          <wp:inline distT="0" distB="0" distL="0" distR="0">
            <wp:extent cx="5753100" cy="1363980"/>
            <wp:effectExtent l="19050" t="0" r="0" b="0"/>
            <wp:docPr id="2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srcRect/>
                    <a:stretch>
                      <a:fillRect/>
                    </a:stretch>
                  </pic:blipFill>
                  <pic:spPr bwMode="auto">
                    <a:xfrm>
                      <a:off x="0" y="0"/>
                      <a:ext cx="5753100" cy="1363980"/>
                    </a:xfrm>
                    <a:prstGeom prst="rect">
                      <a:avLst/>
                    </a:prstGeom>
                    <a:solidFill>
                      <a:srgbClr val="FFFFFF"/>
                    </a:solidFill>
                    <a:ln w="9525">
                      <a:noFill/>
                      <a:miter lim="800000"/>
                      <a:headEnd/>
                      <a:tailEnd/>
                    </a:ln>
                  </pic:spPr>
                </pic:pic>
              </a:graphicData>
            </a:graphic>
          </wp:inline>
        </w:drawing>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12"/>
      </w:tblGrid>
      <w:tr w:rsidR="002516B7" w:rsidRPr="006C664F" w:rsidTr="00264049">
        <w:tc>
          <w:tcPr>
            <w:tcW w:w="9212" w:type="dxa"/>
          </w:tcPr>
          <w:p w:rsidR="002516B7" w:rsidRPr="006C664F" w:rsidRDefault="002516B7" w:rsidP="00264049">
            <w:pPr>
              <w:jc w:val="center"/>
              <w:rPr>
                <w:rFonts w:ascii="Calibri" w:eastAsia="Calibri" w:hAnsi="Calibri"/>
                <w:b/>
                <w:sz w:val="24"/>
                <w:szCs w:val="24"/>
                <w:lang w:eastAsia="en-US"/>
              </w:rPr>
            </w:pPr>
            <w:r w:rsidRPr="006C664F">
              <w:rPr>
                <w:rFonts w:ascii="Calibri" w:eastAsia="Calibri" w:hAnsi="Calibri"/>
                <w:b/>
                <w:sz w:val="24"/>
                <w:szCs w:val="24"/>
                <w:lang w:eastAsia="en-US"/>
              </w:rPr>
              <w:t>Zlepšení podmínek pro vzdělávání na středních školách Operačního programu</w:t>
            </w:r>
          </w:p>
          <w:p w:rsidR="002516B7" w:rsidRPr="006C664F" w:rsidRDefault="002516B7" w:rsidP="00264049">
            <w:pPr>
              <w:jc w:val="center"/>
              <w:rPr>
                <w:rFonts w:ascii="Calibri" w:eastAsia="Calibri" w:hAnsi="Calibri"/>
                <w:b/>
                <w:sz w:val="24"/>
                <w:szCs w:val="24"/>
                <w:lang w:eastAsia="en-US"/>
              </w:rPr>
            </w:pPr>
            <w:r w:rsidRPr="006C664F">
              <w:rPr>
                <w:rFonts w:ascii="Calibri" w:eastAsia="Calibri" w:hAnsi="Calibri"/>
                <w:b/>
                <w:sz w:val="24"/>
                <w:szCs w:val="24"/>
                <w:lang w:eastAsia="en-US"/>
              </w:rPr>
              <w:t>Vzdělávání pro konkurenceschopnost</w:t>
            </w:r>
          </w:p>
          <w:p w:rsidR="002516B7" w:rsidRPr="006C664F" w:rsidRDefault="002516B7" w:rsidP="00264049">
            <w:pPr>
              <w:rPr>
                <w:rFonts w:ascii="Calibri" w:eastAsia="Calibri" w:hAnsi="Calibri"/>
                <w:b/>
                <w:sz w:val="24"/>
                <w:szCs w:val="24"/>
                <w:lang w:eastAsia="en-US"/>
              </w:rPr>
            </w:pPr>
          </w:p>
        </w:tc>
      </w:tr>
      <w:tr w:rsidR="002516B7" w:rsidRPr="006C664F" w:rsidTr="00264049">
        <w:trPr>
          <w:trHeight w:val="875"/>
        </w:trPr>
        <w:tc>
          <w:tcPr>
            <w:tcW w:w="9212" w:type="dxa"/>
            <w:vAlign w:val="center"/>
          </w:tcPr>
          <w:p w:rsidR="002516B7" w:rsidRPr="006C664F" w:rsidRDefault="002516B7" w:rsidP="00264049">
            <w:pPr>
              <w:jc w:val="center"/>
              <w:rPr>
                <w:rFonts w:ascii="Calibri" w:eastAsia="Calibri" w:hAnsi="Calibri"/>
                <w:b/>
                <w:sz w:val="24"/>
                <w:szCs w:val="24"/>
                <w:lang w:eastAsia="en-US"/>
              </w:rPr>
            </w:pPr>
            <w:r w:rsidRPr="006C664F">
              <w:rPr>
                <w:rFonts w:ascii="Calibri" w:eastAsia="Calibri" w:hAnsi="Calibri"/>
                <w:b/>
                <w:sz w:val="24"/>
                <w:szCs w:val="24"/>
                <w:lang w:eastAsia="en-US"/>
              </w:rPr>
              <w:t>Název a adresa školy: Integrovaná střední škola Cheb, Obrněné brigády 6, 350 11 Cheb</w:t>
            </w:r>
            <w:r>
              <w:rPr>
                <w:rFonts w:ascii="Calibri" w:eastAsia="Calibri" w:hAnsi="Calibri"/>
                <w:b/>
                <w:noProof/>
              </w:rPr>
              <w:drawing>
                <wp:inline distT="0" distB="0" distL="0" distR="0">
                  <wp:extent cx="853440" cy="746760"/>
                  <wp:effectExtent l="19050" t="0" r="3810" b="0"/>
                  <wp:docPr id="22" name="Obrázek 0" descr="loga final-orlice alf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0" descr="loga final-orlice alfa.png"/>
                          <pic:cNvPicPr>
                            <a:picLocks noChangeAspect="1" noChangeArrowheads="1"/>
                          </pic:cNvPicPr>
                        </pic:nvPicPr>
                        <pic:blipFill>
                          <a:blip r:embed="rId6"/>
                          <a:srcRect/>
                          <a:stretch>
                            <a:fillRect/>
                          </a:stretch>
                        </pic:blipFill>
                        <pic:spPr bwMode="auto">
                          <a:xfrm>
                            <a:off x="0" y="0"/>
                            <a:ext cx="853440" cy="746760"/>
                          </a:xfrm>
                          <a:prstGeom prst="rect">
                            <a:avLst/>
                          </a:prstGeom>
                          <a:noFill/>
                          <a:ln w="9525">
                            <a:noFill/>
                            <a:miter lim="800000"/>
                            <a:headEnd/>
                            <a:tailEnd/>
                          </a:ln>
                        </pic:spPr>
                      </pic:pic>
                    </a:graphicData>
                  </a:graphic>
                </wp:inline>
              </w:drawing>
            </w:r>
          </w:p>
        </w:tc>
      </w:tr>
      <w:tr w:rsidR="002516B7" w:rsidRPr="006C664F" w:rsidTr="00264049">
        <w:tc>
          <w:tcPr>
            <w:tcW w:w="9212" w:type="dxa"/>
          </w:tcPr>
          <w:p w:rsidR="002516B7" w:rsidRPr="006C664F" w:rsidRDefault="002516B7" w:rsidP="00264049">
            <w:pPr>
              <w:rPr>
                <w:rFonts w:ascii="Calibri" w:eastAsia="Calibri" w:hAnsi="Calibri"/>
                <w:b/>
                <w:sz w:val="24"/>
                <w:szCs w:val="24"/>
                <w:lang w:eastAsia="en-US"/>
              </w:rPr>
            </w:pPr>
            <w:r w:rsidRPr="006C664F">
              <w:rPr>
                <w:rFonts w:ascii="Calibri" w:eastAsia="Calibri" w:hAnsi="Calibri"/>
                <w:b/>
                <w:sz w:val="24"/>
                <w:szCs w:val="24"/>
                <w:lang w:eastAsia="en-US"/>
              </w:rPr>
              <w:t>Číslo projektu: CZ.1.07/1.5.00/34.0290</w:t>
            </w:r>
          </w:p>
        </w:tc>
      </w:tr>
    </w:tbl>
    <w:p w:rsidR="002516B7" w:rsidRPr="006C664F" w:rsidRDefault="002516B7" w:rsidP="002516B7">
      <w:pPr>
        <w:rPr>
          <w:rFonts w:ascii="Calibri" w:eastAsia="Calibri" w:hAnsi="Calibri"/>
          <w:b/>
          <w:sz w:val="22"/>
          <w:szCs w:val="22"/>
          <w:lang w:eastAsia="en-US"/>
        </w:rPr>
      </w:pPr>
    </w:p>
    <w:p w:rsidR="002516B7" w:rsidRPr="006C664F" w:rsidRDefault="002516B7" w:rsidP="002516B7">
      <w:pPr>
        <w:ind w:left="3540" w:hanging="3540"/>
        <w:rPr>
          <w:rFonts w:ascii="Calibri" w:eastAsia="Calibri" w:hAnsi="Calibri"/>
          <w:b/>
          <w:color w:val="000000"/>
          <w:sz w:val="22"/>
          <w:szCs w:val="22"/>
          <w:lang w:eastAsia="en-US"/>
        </w:rPr>
      </w:pPr>
      <w:r w:rsidRPr="006C664F">
        <w:rPr>
          <w:rFonts w:ascii="Calibri" w:eastAsia="Calibri" w:hAnsi="Calibri"/>
          <w:b/>
          <w:sz w:val="22"/>
          <w:szCs w:val="22"/>
          <w:lang w:eastAsia="en-US"/>
        </w:rPr>
        <w:t xml:space="preserve">Číslo a název klíčové aktivity: </w:t>
      </w:r>
      <w:r w:rsidRPr="004168F6">
        <w:rPr>
          <w:rFonts w:ascii="Calibri" w:eastAsia="Calibri" w:hAnsi="Calibri"/>
          <w:b/>
          <w:sz w:val="22"/>
          <w:szCs w:val="22"/>
          <w:lang w:eastAsia="en-US"/>
        </w:rPr>
        <w:tab/>
      </w:r>
      <w:r w:rsidRPr="006C664F">
        <w:rPr>
          <w:rFonts w:ascii="Calibri" w:eastAsia="Calibri" w:hAnsi="Calibri"/>
          <w:bCs/>
          <w:iCs/>
          <w:sz w:val="22"/>
          <w:szCs w:val="22"/>
          <w:lang w:eastAsia="en-US"/>
        </w:rPr>
        <w:t xml:space="preserve">III/2 Inovace a zkvalitnění výuky prostřednictvím ICT </w:t>
      </w:r>
    </w:p>
    <w:p w:rsidR="002516B7" w:rsidRPr="004168F6" w:rsidRDefault="002516B7" w:rsidP="002516B7">
      <w:pPr>
        <w:ind w:left="3540" w:hanging="3540"/>
        <w:rPr>
          <w:rFonts w:ascii="Calibri" w:hAnsi="Calibri"/>
          <w:sz w:val="22"/>
          <w:szCs w:val="22"/>
          <w:lang w:eastAsia="en-US"/>
        </w:rPr>
      </w:pPr>
      <w:r w:rsidRPr="006C664F">
        <w:rPr>
          <w:rFonts w:ascii="Calibri" w:eastAsia="Calibri" w:hAnsi="Calibri"/>
          <w:b/>
          <w:color w:val="000000"/>
          <w:sz w:val="22"/>
          <w:szCs w:val="22"/>
          <w:lang w:eastAsia="en-US"/>
        </w:rPr>
        <w:t xml:space="preserve">Číslo DUM: </w:t>
      </w:r>
      <w:r w:rsidRPr="004168F6">
        <w:rPr>
          <w:rFonts w:ascii="Calibri" w:eastAsia="Calibri" w:hAnsi="Calibri"/>
          <w:b/>
          <w:color w:val="000000"/>
          <w:sz w:val="22"/>
          <w:szCs w:val="22"/>
          <w:lang w:eastAsia="en-US"/>
        </w:rPr>
        <w:tab/>
      </w:r>
      <w:r>
        <w:rPr>
          <w:rFonts w:ascii="Calibri" w:hAnsi="Calibri"/>
          <w:bCs/>
          <w:sz w:val="22"/>
          <w:szCs w:val="22"/>
          <w:lang w:eastAsia="en-US"/>
        </w:rPr>
        <w:t>VY_32_INOVACE_03Igo_12</w:t>
      </w:r>
    </w:p>
    <w:p w:rsidR="002516B7" w:rsidRPr="006C664F" w:rsidRDefault="002516B7" w:rsidP="002516B7">
      <w:pPr>
        <w:ind w:left="3540" w:hanging="3540"/>
        <w:rPr>
          <w:rFonts w:ascii="Calibri" w:eastAsia="Calibri" w:hAnsi="Calibri"/>
          <w:b/>
          <w:color w:val="000000"/>
          <w:sz w:val="22"/>
          <w:szCs w:val="22"/>
          <w:lang w:eastAsia="en-US"/>
        </w:rPr>
      </w:pPr>
      <w:r w:rsidRPr="004168F6">
        <w:rPr>
          <w:rFonts w:ascii="Calibri" w:hAnsi="Calibri"/>
          <w:b/>
          <w:sz w:val="22"/>
          <w:szCs w:val="22"/>
          <w:lang w:eastAsia="en-US"/>
        </w:rPr>
        <w:t>Název DUM:</w:t>
      </w:r>
      <w:r w:rsidRPr="004168F6">
        <w:rPr>
          <w:rFonts w:ascii="Calibri" w:eastAsia="Calibri" w:hAnsi="Calibri"/>
          <w:b/>
          <w:color w:val="000000"/>
          <w:sz w:val="22"/>
          <w:szCs w:val="22"/>
          <w:lang w:eastAsia="en-US"/>
        </w:rPr>
        <w:t xml:space="preserve"> </w:t>
      </w:r>
      <w:r w:rsidRPr="004168F6">
        <w:rPr>
          <w:rFonts w:ascii="Calibri" w:eastAsia="Calibri" w:hAnsi="Calibri"/>
          <w:b/>
          <w:color w:val="000000"/>
          <w:sz w:val="22"/>
          <w:szCs w:val="22"/>
          <w:lang w:eastAsia="en-US"/>
        </w:rPr>
        <w:tab/>
      </w:r>
      <w:r>
        <w:rPr>
          <w:rFonts w:ascii="Calibri" w:eastAsia="Calibri" w:hAnsi="Calibri"/>
          <w:color w:val="000000"/>
          <w:sz w:val="22"/>
          <w:szCs w:val="22"/>
          <w:lang w:eastAsia="en-US"/>
        </w:rPr>
        <w:t>Nabídka nevyžádaná - část 12</w:t>
      </w:r>
      <w:r w:rsidRPr="006C664F">
        <w:rPr>
          <w:rFonts w:ascii="Calibri" w:eastAsia="Calibri" w:hAnsi="Calibri"/>
          <w:color w:val="000000"/>
          <w:sz w:val="22"/>
          <w:szCs w:val="22"/>
          <w:lang w:eastAsia="en-US"/>
        </w:rPr>
        <w:tab/>
      </w:r>
      <w:r w:rsidRPr="006C664F">
        <w:rPr>
          <w:rFonts w:ascii="Calibri" w:eastAsia="Calibri" w:hAnsi="Calibri"/>
          <w:b/>
          <w:color w:val="000000"/>
          <w:sz w:val="22"/>
          <w:szCs w:val="22"/>
          <w:lang w:eastAsia="en-US"/>
        </w:rPr>
        <w:tab/>
      </w:r>
      <w:r w:rsidRPr="006C664F">
        <w:rPr>
          <w:rFonts w:ascii="Calibri" w:eastAsia="Calibri" w:hAnsi="Calibri"/>
          <w:b/>
          <w:color w:val="000000"/>
          <w:sz w:val="22"/>
          <w:szCs w:val="22"/>
          <w:lang w:eastAsia="en-US"/>
        </w:rPr>
        <w:tab/>
      </w:r>
      <w:r w:rsidRPr="006C664F">
        <w:rPr>
          <w:rFonts w:ascii="Calibri" w:eastAsia="Calibri" w:hAnsi="Calibri"/>
          <w:b/>
          <w:color w:val="000000"/>
          <w:sz w:val="22"/>
          <w:szCs w:val="22"/>
          <w:lang w:eastAsia="en-US"/>
        </w:rPr>
        <w:tab/>
      </w:r>
    </w:p>
    <w:p w:rsidR="002516B7" w:rsidRPr="006C664F" w:rsidRDefault="002516B7" w:rsidP="002516B7">
      <w:pPr>
        <w:rPr>
          <w:rFonts w:ascii="Calibri" w:eastAsia="Calibri" w:hAnsi="Calibri"/>
          <w:b/>
          <w:color w:val="000000"/>
          <w:sz w:val="22"/>
          <w:szCs w:val="22"/>
          <w:lang w:eastAsia="en-US"/>
        </w:rPr>
      </w:pPr>
      <w:r w:rsidRPr="006C664F">
        <w:rPr>
          <w:rFonts w:ascii="Calibri" w:eastAsia="Calibri" w:hAnsi="Calibri"/>
          <w:b/>
          <w:color w:val="000000"/>
          <w:sz w:val="22"/>
          <w:szCs w:val="22"/>
          <w:lang w:eastAsia="en-US"/>
        </w:rPr>
        <w:t>Jméno autora:</w:t>
      </w:r>
      <w:r w:rsidRPr="004168F6">
        <w:rPr>
          <w:rFonts w:ascii="Calibri" w:eastAsia="Calibri" w:hAnsi="Calibri"/>
          <w:b/>
          <w:color w:val="000000"/>
          <w:sz w:val="22"/>
          <w:szCs w:val="22"/>
          <w:lang w:eastAsia="en-US"/>
        </w:rPr>
        <w:tab/>
      </w:r>
      <w:r w:rsidRPr="004168F6">
        <w:rPr>
          <w:rFonts w:ascii="Calibri" w:eastAsia="Calibri" w:hAnsi="Calibri"/>
          <w:b/>
          <w:color w:val="000000"/>
          <w:sz w:val="22"/>
          <w:szCs w:val="22"/>
          <w:lang w:eastAsia="en-US"/>
        </w:rPr>
        <w:tab/>
      </w:r>
      <w:r w:rsidRPr="004168F6">
        <w:rPr>
          <w:rFonts w:ascii="Calibri" w:eastAsia="Calibri" w:hAnsi="Calibri"/>
          <w:b/>
          <w:color w:val="000000"/>
          <w:sz w:val="22"/>
          <w:szCs w:val="22"/>
          <w:lang w:eastAsia="en-US"/>
        </w:rPr>
        <w:tab/>
      </w:r>
      <w:r>
        <w:rPr>
          <w:rFonts w:ascii="Calibri" w:eastAsia="Calibri" w:hAnsi="Calibri"/>
          <w:b/>
          <w:color w:val="000000"/>
          <w:sz w:val="22"/>
          <w:szCs w:val="22"/>
          <w:lang w:eastAsia="en-US"/>
        </w:rPr>
        <w:tab/>
      </w:r>
      <w:r w:rsidRPr="006C664F">
        <w:rPr>
          <w:rFonts w:ascii="Calibri" w:eastAsia="Calibri" w:hAnsi="Calibri"/>
          <w:color w:val="000000"/>
          <w:sz w:val="22"/>
          <w:szCs w:val="22"/>
          <w:lang w:eastAsia="en-US"/>
        </w:rPr>
        <w:t>Ing. Hana Illingerová</w:t>
      </w:r>
      <w:r w:rsidRPr="006C664F">
        <w:rPr>
          <w:rFonts w:ascii="Calibri" w:eastAsia="Calibri" w:hAnsi="Calibri"/>
          <w:color w:val="000000"/>
          <w:sz w:val="22"/>
          <w:szCs w:val="22"/>
          <w:lang w:eastAsia="en-US"/>
        </w:rPr>
        <w:tab/>
      </w:r>
      <w:r w:rsidRPr="006C664F">
        <w:rPr>
          <w:rFonts w:ascii="Calibri" w:eastAsia="Calibri" w:hAnsi="Calibri"/>
          <w:b/>
          <w:color w:val="000000"/>
          <w:sz w:val="22"/>
          <w:szCs w:val="22"/>
          <w:lang w:eastAsia="en-US"/>
        </w:rPr>
        <w:tab/>
      </w:r>
      <w:r w:rsidRPr="006C664F">
        <w:rPr>
          <w:rFonts w:ascii="Calibri" w:eastAsia="Calibri" w:hAnsi="Calibri"/>
          <w:b/>
          <w:color w:val="000000"/>
          <w:sz w:val="22"/>
          <w:szCs w:val="22"/>
          <w:lang w:eastAsia="en-US"/>
        </w:rPr>
        <w:tab/>
      </w:r>
      <w:r w:rsidRPr="006C664F">
        <w:rPr>
          <w:rFonts w:ascii="Calibri" w:eastAsia="Calibri" w:hAnsi="Calibri"/>
          <w:b/>
          <w:color w:val="000000"/>
          <w:sz w:val="22"/>
          <w:szCs w:val="22"/>
          <w:lang w:eastAsia="en-US"/>
        </w:rPr>
        <w:tab/>
      </w:r>
    </w:p>
    <w:p w:rsidR="002516B7" w:rsidRPr="006C664F" w:rsidRDefault="002516B7" w:rsidP="002516B7">
      <w:pPr>
        <w:rPr>
          <w:rFonts w:ascii="Calibri" w:eastAsia="Calibri" w:hAnsi="Calibri"/>
          <w:b/>
          <w:color w:val="000000"/>
          <w:sz w:val="22"/>
          <w:szCs w:val="22"/>
          <w:lang w:eastAsia="en-US"/>
        </w:rPr>
      </w:pPr>
      <w:r w:rsidRPr="006C664F">
        <w:rPr>
          <w:rFonts w:ascii="Calibri" w:eastAsia="Calibri" w:hAnsi="Calibri"/>
          <w:b/>
          <w:color w:val="000000"/>
          <w:sz w:val="22"/>
          <w:szCs w:val="22"/>
          <w:lang w:eastAsia="en-US"/>
        </w:rPr>
        <w:t>Ročník:</w:t>
      </w:r>
      <w:r>
        <w:rPr>
          <w:rFonts w:ascii="Calibri" w:eastAsia="Calibri" w:hAnsi="Calibri"/>
          <w:b/>
          <w:color w:val="000000"/>
          <w:sz w:val="22"/>
          <w:szCs w:val="22"/>
          <w:lang w:eastAsia="en-US"/>
        </w:rPr>
        <w:tab/>
      </w:r>
      <w:r>
        <w:rPr>
          <w:rFonts w:ascii="Calibri" w:eastAsia="Calibri" w:hAnsi="Calibri"/>
          <w:b/>
          <w:color w:val="000000"/>
          <w:sz w:val="22"/>
          <w:szCs w:val="22"/>
          <w:lang w:eastAsia="en-US"/>
        </w:rPr>
        <w:tab/>
      </w:r>
      <w:r>
        <w:rPr>
          <w:rFonts w:ascii="Calibri" w:eastAsia="Calibri" w:hAnsi="Calibri"/>
          <w:b/>
          <w:color w:val="000000"/>
          <w:sz w:val="22"/>
          <w:szCs w:val="22"/>
          <w:lang w:eastAsia="en-US"/>
        </w:rPr>
        <w:tab/>
      </w:r>
      <w:r>
        <w:rPr>
          <w:rFonts w:ascii="Calibri" w:eastAsia="Calibri" w:hAnsi="Calibri"/>
          <w:b/>
          <w:color w:val="000000"/>
          <w:sz w:val="22"/>
          <w:szCs w:val="22"/>
          <w:lang w:eastAsia="en-US"/>
        </w:rPr>
        <w:tab/>
      </w:r>
      <w:r>
        <w:rPr>
          <w:rFonts w:ascii="Calibri" w:eastAsia="Calibri" w:hAnsi="Calibri"/>
          <w:b/>
          <w:color w:val="000000"/>
          <w:sz w:val="22"/>
          <w:szCs w:val="22"/>
          <w:lang w:eastAsia="en-US"/>
        </w:rPr>
        <w:tab/>
      </w:r>
      <w:r w:rsidRPr="006C664F">
        <w:rPr>
          <w:rFonts w:ascii="Calibri" w:eastAsia="Calibri" w:hAnsi="Calibri"/>
          <w:color w:val="000000"/>
          <w:sz w:val="22"/>
          <w:szCs w:val="22"/>
          <w:lang w:eastAsia="en-US"/>
        </w:rPr>
        <w:t>2., 3., 4.</w:t>
      </w:r>
      <w:r w:rsidRPr="006C664F">
        <w:rPr>
          <w:rFonts w:ascii="Calibri" w:eastAsia="Calibri" w:hAnsi="Calibri"/>
          <w:b/>
          <w:color w:val="000000"/>
          <w:sz w:val="22"/>
          <w:szCs w:val="22"/>
          <w:lang w:eastAsia="en-US"/>
        </w:rPr>
        <w:tab/>
      </w:r>
      <w:r w:rsidRPr="006C664F">
        <w:rPr>
          <w:rFonts w:ascii="Calibri" w:eastAsia="Calibri" w:hAnsi="Calibri"/>
          <w:b/>
          <w:color w:val="000000"/>
          <w:sz w:val="22"/>
          <w:szCs w:val="22"/>
          <w:lang w:eastAsia="en-US"/>
        </w:rPr>
        <w:tab/>
      </w:r>
      <w:r w:rsidRPr="006C664F">
        <w:rPr>
          <w:rFonts w:ascii="Calibri" w:eastAsia="Calibri" w:hAnsi="Calibri"/>
          <w:b/>
          <w:color w:val="000000"/>
          <w:sz w:val="22"/>
          <w:szCs w:val="22"/>
          <w:lang w:eastAsia="en-US"/>
        </w:rPr>
        <w:tab/>
      </w:r>
      <w:r w:rsidRPr="006C664F">
        <w:rPr>
          <w:rFonts w:ascii="Calibri" w:eastAsia="Calibri" w:hAnsi="Calibri"/>
          <w:b/>
          <w:color w:val="000000"/>
          <w:sz w:val="22"/>
          <w:szCs w:val="22"/>
          <w:lang w:eastAsia="en-US"/>
        </w:rPr>
        <w:tab/>
      </w:r>
    </w:p>
    <w:p w:rsidR="002516B7" w:rsidRPr="006C664F" w:rsidRDefault="002516B7" w:rsidP="002516B7">
      <w:pPr>
        <w:rPr>
          <w:rFonts w:ascii="Calibri" w:eastAsia="Calibri" w:hAnsi="Calibri"/>
          <w:b/>
          <w:color w:val="000000"/>
          <w:sz w:val="22"/>
          <w:szCs w:val="22"/>
          <w:lang w:eastAsia="en-US"/>
        </w:rPr>
      </w:pPr>
      <w:r w:rsidRPr="006C664F">
        <w:rPr>
          <w:rFonts w:ascii="Calibri" w:eastAsia="Calibri" w:hAnsi="Calibri"/>
          <w:b/>
          <w:color w:val="000000"/>
          <w:sz w:val="22"/>
          <w:szCs w:val="22"/>
          <w:lang w:eastAsia="en-US"/>
        </w:rPr>
        <w:t xml:space="preserve">Vzdělávací oblast: </w:t>
      </w:r>
      <w:r w:rsidRPr="004168F6">
        <w:rPr>
          <w:rFonts w:ascii="Calibri" w:eastAsia="Calibri" w:hAnsi="Calibri"/>
          <w:b/>
          <w:color w:val="000000"/>
          <w:sz w:val="22"/>
          <w:szCs w:val="22"/>
          <w:lang w:eastAsia="en-US"/>
        </w:rPr>
        <w:tab/>
      </w:r>
      <w:r w:rsidRPr="004168F6">
        <w:rPr>
          <w:rFonts w:ascii="Calibri" w:eastAsia="Calibri" w:hAnsi="Calibri"/>
          <w:b/>
          <w:color w:val="000000"/>
          <w:sz w:val="22"/>
          <w:szCs w:val="22"/>
          <w:lang w:eastAsia="en-US"/>
        </w:rPr>
        <w:tab/>
      </w:r>
      <w:r w:rsidRPr="004168F6">
        <w:rPr>
          <w:rFonts w:ascii="Calibri" w:eastAsia="Calibri" w:hAnsi="Calibri"/>
          <w:b/>
          <w:color w:val="000000"/>
          <w:sz w:val="22"/>
          <w:szCs w:val="22"/>
          <w:lang w:eastAsia="en-US"/>
        </w:rPr>
        <w:tab/>
      </w:r>
      <w:r w:rsidRPr="006C664F">
        <w:rPr>
          <w:rFonts w:ascii="Calibri" w:hAnsi="Calibri"/>
          <w:sz w:val="22"/>
          <w:szCs w:val="22"/>
          <w:lang w:eastAsia="en-US"/>
        </w:rPr>
        <w:t>písemná a elektronická komunikac</w:t>
      </w:r>
      <w:r w:rsidRPr="004168F6">
        <w:rPr>
          <w:rFonts w:ascii="Calibri" w:hAnsi="Calibri"/>
          <w:sz w:val="22"/>
          <w:szCs w:val="22"/>
          <w:lang w:eastAsia="en-US"/>
        </w:rPr>
        <w:t>e</w:t>
      </w:r>
      <w:r w:rsidRPr="006C664F">
        <w:rPr>
          <w:rFonts w:ascii="Calibri" w:eastAsia="Calibri" w:hAnsi="Calibri"/>
          <w:b/>
          <w:color w:val="000000"/>
          <w:sz w:val="22"/>
          <w:szCs w:val="22"/>
          <w:lang w:eastAsia="en-US"/>
        </w:rPr>
        <w:tab/>
      </w:r>
      <w:r w:rsidRPr="006C664F">
        <w:rPr>
          <w:rFonts w:ascii="Calibri" w:eastAsia="Calibri" w:hAnsi="Calibri"/>
          <w:b/>
          <w:color w:val="000000"/>
          <w:sz w:val="22"/>
          <w:szCs w:val="22"/>
          <w:lang w:eastAsia="en-US"/>
        </w:rPr>
        <w:tab/>
      </w:r>
      <w:r w:rsidRPr="006C664F">
        <w:rPr>
          <w:rFonts w:ascii="Calibri" w:eastAsia="Calibri" w:hAnsi="Calibri"/>
          <w:b/>
          <w:color w:val="000000"/>
          <w:sz w:val="22"/>
          <w:szCs w:val="22"/>
          <w:lang w:eastAsia="en-US"/>
        </w:rPr>
        <w:tab/>
      </w:r>
    </w:p>
    <w:p w:rsidR="002516B7" w:rsidRPr="006C664F" w:rsidRDefault="002516B7" w:rsidP="002516B7">
      <w:pPr>
        <w:rPr>
          <w:rFonts w:ascii="Calibri" w:eastAsia="Calibri" w:hAnsi="Calibri"/>
          <w:b/>
          <w:color w:val="000000"/>
          <w:sz w:val="22"/>
          <w:szCs w:val="22"/>
          <w:lang w:eastAsia="en-US"/>
        </w:rPr>
      </w:pPr>
      <w:r w:rsidRPr="006C664F">
        <w:rPr>
          <w:rFonts w:ascii="Calibri" w:eastAsia="Calibri" w:hAnsi="Calibri"/>
          <w:b/>
          <w:color w:val="000000"/>
          <w:sz w:val="22"/>
          <w:szCs w:val="22"/>
          <w:lang w:eastAsia="en-US"/>
        </w:rPr>
        <w:t xml:space="preserve">Vzdělávací obor: </w:t>
      </w:r>
      <w:r w:rsidRPr="004168F6">
        <w:rPr>
          <w:rFonts w:ascii="Calibri" w:eastAsia="Calibri" w:hAnsi="Calibri"/>
          <w:b/>
          <w:color w:val="000000"/>
          <w:sz w:val="22"/>
          <w:szCs w:val="22"/>
          <w:lang w:eastAsia="en-US"/>
        </w:rPr>
        <w:tab/>
      </w:r>
      <w:r w:rsidRPr="004168F6">
        <w:rPr>
          <w:rFonts w:ascii="Calibri" w:eastAsia="Calibri" w:hAnsi="Calibri"/>
          <w:b/>
          <w:color w:val="000000"/>
          <w:sz w:val="22"/>
          <w:szCs w:val="22"/>
          <w:lang w:eastAsia="en-US"/>
        </w:rPr>
        <w:tab/>
      </w:r>
      <w:r w:rsidRPr="004168F6">
        <w:rPr>
          <w:rFonts w:ascii="Calibri" w:eastAsia="Calibri" w:hAnsi="Calibri"/>
          <w:b/>
          <w:color w:val="000000"/>
          <w:sz w:val="22"/>
          <w:szCs w:val="22"/>
          <w:lang w:eastAsia="en-US"/>
        </w:rPr>
        <w:tab/>
      </w:r>
      <w:r w:rsidRPr="006C664F">
        <w:rPr>
          <w:rFonts w:ascii="Calibri" w:hAnsi="Calibri"/>
          <w:sz w:val="22"/>
          <w:szCs w:val="22"/>
          <w:lang w:eastAsia="en-US"/>
        </w:rPr>
        <w:t>Obchodní akademie, Podnikání</w:t>
      </w:r>
      <w:r w:rsidRPr="006C664F">
        <w:rPr>
          <w:rFonts w:ascii="Calibri" w:eastAsia="Calibri" w:hAnsi="Calibri"/>
          <w:b/>
          <w:color w:val="000000"/>
          <w:sz w:val="22"/>
          <w:szCs w:val="22"/>
          <w:lang w:eastAsia="en-US"/>
        </w:rPr>
        <w:tab/>
      </w:r>
      <w:r w:rsidRPr="006C664F">
        <w:rPr>
          <w:rFonts w:ascii="Calibri" w:eastAsia="Calibri" w:hAnsi="Calibri"/>
          <w:b/>
          <w:color w:val="000000"/>
          <w:sz w:val="22"/>
          <w:szCs w:val="22"/>
          <w:lang w:eastAsia="en-US"/>
        </w:rPr>
        <w:tab/>
      </w:r>
      <w:r w:rsidRPr="006C664F">
        <w:rPr>
          <w:rFonts w:ascii="Calibri" w:eastAsia="Calibri" w:hAnsi="Calibri"/>
          <w:b/>
          <w:color w:val="000000"/>
          <w:sz w:val="22"/>
          <w:szCs w:val="22"/>
          <w:lang w:eastAsia="en-US"/>
        </w:rPr>
        <w:tab/>
      </w:r>
    </w:p>
    <w:p w:rsidR="002516B7" w:rsidRPr="006C664F" w:rsidRDefault="002516B7" w:rsidP="002516B7">
      <w:pPr>
        <w:ind w:left="3540" w:hanging="3540"/>
        <w:rPr>
          <w:rFonts w:ascii="Calibri" w:eastAsia="Calibri" w:hAnsi="Calibri"/>
          <w:b/>
          <w:color w:val="000000"/>
          <w:sz w:val="22"/>
          <w:szCs w:val="22"/>
          <w:lang w:eastAsia="en-US"/>
        </w:rPr>
      </w:pPr>
      <w:r w:rsidRPr="006C664F">
        <w:rPr>
          <w:rFonts w:ascii="Calibri" w:eastAsia="Calibri" w:hAnsi="Calibri"/>
          <w:b/>
          <w:color w:val="000000"/>
          <w:sz w:val="22"/>
          <w:szCs w:val="22"/>
          <w:lang w:eastAsia="en-US"/>
        </w:rPr>
        <w:t xml:space="preserve">Klíčová slova: </w:t>
      </w:r>
      <w:r w:rsidRPr="004168F6">
        <w:rPr>
          <w:rFonts w:ascii="Calibri" w:eastAsia="Calibri" w:hAnsi="Calibri"/>
          <w:b/>
          <w:color w:val="000000"/>
          <w:sz w:val="22"/>
          <w:szCs w:val="22"/>
          <w:lang w:eastAsia="en-US"/>
        </w:rPr>
        <w:tab/>
      </w:r>
      <w:r w:rsidRPr="006C664F">
        <w:rPr>
          <w:rFonts w:ascii="Calibri" w:hAnsi="Calibri"/>
          <w:sz w:val="22"/>
          <w:szCs w:val="22"/>
          <w:lang w:eastAsia="en-US"/>
        </w:rPr>
        <w:t xml:space="preserve">pozvánka, prezenční listina, zápis z porady, příkaz, poptávka, </w:t>
      </w:r>
    </w:p>
    <w:p w:rsidR="002516B7" w:rsidRPr="006C664F" w:rsidRDefault="002516B7" w:rsidP="002516B7">
      <w:pPr>
        <w:ind w:left="3540" w:hanging="3540"/>
        <w:rPr>
          <w:rFonts w:ascii="Calibri" w:eastAsia="Calibri" w:hAnsi="Calibri"/>
          <w:b/>
          <w:color w:val="000000"/>
          <w:sz w:val="22"/>
          <w:szCs w:val="22"/>
          <w:lang w:eastAsia="en-US"/>
        </w:rPr>
      </w:pPr>
      <w:r w:rsidRPr="006C664F">
        <w:rPr>
          <w:rFonts w:ascii="Calibri" w:eastAsia="Calibri" w:hAnsi="Calibri"/>
          <w:b/>
          <w:color w:val="000000"/>
          <w:sz w:val="22"/>
          <w:szCs w:val="22"/>
          <w:lang w:eastAsia="en-US"/>
        </w:rPr>
        <w:t xml:space="preserve">Anotace: </w:t>
      </w:r>
      <w:r w:rsidRPr="004168F6">
        <w:rPr>
          <w:rFonts w:ascii="Calibri" w:eastAsia="Calibri" w:hAnsi="Calibri"/>
          <w:b/>
          <w:color w:val="000000"/>
          <w:sz w:val="22"/>
          <w:szCs w:val="22"/>
          <w:lang w:eastAsia="en-US"/>
        </w:rPr>
        <w:tab/>
      </w:r>
      <w:r w:rsidRPr="006C664F">
        <w:rPr>
          <w:rFonts w:ascii="Calibri" w:eastAsia="Calibri" w:hAnsi="Calibri"/>
          <w:color w:val="000000"/>
          <w:sz w:val="22"/>
          <w:szCs w:val="22"/>
          <w:lang w:eastAsia="en-US"/>
        </w:rPr>
        <w:t>Materiály slouží nejen jako učební pomůcka, ale zároveň</w:t>
      </w:r>
      <w:r w:rsidR="00261B22">
        <w:rPr>
          <w:rFonts w:ascii="Calibri" w:eastAsia="Calibri" w:hAnsi="Calibri"/>
          <w:color w:val="000000"/>
          <w:sz w:val="22"/>
          <w:szCs w:val="22"/>
          <w:lang w:eastAsia="en-US"/>
        </w:rPr>
        <w:t xml:space="preserve"> jako pomůcka při</w:t>
      </w:r>
      <w:bookmarkStart w:id="0" w:name="_GoBack"/>
      <w:bookmarkEnd w:id="0"/>
      <w:r w:rsidRPr="006C664F">
        <w:rPr>
          <w:rFonts w:ascii="Calibri" w:eastAsia="Calibri" w:hAnsi="Calibri"/>
          <w:color w:val="000000"/>
          <w:sz w:val="22"/>
          <w:szCs w:val="22"/>
          <w:lang w:eastAsia="en-US"/>
        </w:rPr>
        <w:t xml:space="preserve"> přípravě na státní zkoušky nebo různé formy soutěží</w:t>
      </w:r>
      <w:r w:rsidRPr="004168F6">
        <w:rPr>
          <w:rFonts w:ascii="Calibri" w:eastAsia="Calibri" w:hAnsi="Calibri"/>
          <w:color w:val="000000"/>
          <w:sz w:val="22"/>
          <w:szCs w:val="22"/>
          <w:lang w:eastAsia="en-US"/>
        </w:rPr>
        <w:t>.</w:t>
      </w:r>
      <w:r w:rsidRPr="006C664F">
        <w:rPr>
          <w:rFonts w:ascii="Calibri" w:eastAsia="Calibri" w:hAnsi="Calibri"/>
          <w:color w:val="000000"/>
          <w:sz w:val="22"/>
          <w:szCs w:val="22"/>
          <w:lang w:eastAsia="en-US"/>
        </w:rPr>
        <w:tab/>
      </w:r>
    </w:p>
    <w:p w:rsidR="002516B7" w:rsidRPr="006C664F" w:rsidRDefault="002516B7" w:rsidP="002516B7">
      <w:pPr>
        <w:rPr>
          <w:rFonts w:ascii="Calibri" w:eastAsia="Calibri" w:hAnsi="Calibri"/>
          <w:b/>
          <w:color w:val="000000"/>
          <w:sz w:val="22"/>
          <w:szCs w:val="22"/>
          <w:lang w:eastAsia="en-US"/>
        </w:rPr>
      </w:pPr>
      <w:r w:rsidRPr="006C664F">
        <w:rPr>
          <w:rFonts w:ascii="Calibri" w:eastAsia="Calibri" w:hAnsi="Calibri"/>
          <w:b/>
          <w:color w:val="000000"/>
          <w:sz w:val="22"/>
          <w:szCs w:val="22"/>
          <w:lang w:eastAsia="en-US"/>
        </w:rPr>
        <w:t xml:space="preserve">Druh učebního materiálu: </w:t>
      </w:r>
      <w:r w:rsidRPr="004168F6">
        <w:rPr>
          <w:rFonts w:ascii="Calibri" w:eastAsia="Calibri" w:hAnsi="Calibri"/>
          <w:b/>
          <w:color w:val="000000"/>
          <w:sz w:val="22"/>
          <w:szCs w:val="22"/>
          <w:lang w:eastAsia="en-US"/>
        </w:rPr>
        <w:tab/>
      </w:r>
      <w:r w:rsidRPr="004168F6">
        <w:rPr>
          <w:rFonts w:ascii="Calibri" w:eastAsia="Calibri" w:hAnsi="Calibri"/>
          <w:b/>
          <w:color w:val="000000"/>
          <w:sz w:val="22"/>
          <w:szCs w:val="22"/>
          <w:lang w:eastAsia="en-US"/>
        </w:rPr>
        <w:tab/>
      </w:r>
      <w:r w:rsidRPr="006C664F">
        <w:rPr>
          <w:rFonts w:ascii="Calibri" w:hAnsi="Calibri"/>
          <w:sz w:val="22"/>
          <w:szCs w:val="22"/>
          <w:lang w:eastAsia="en-US"/>
        </w:rPr>
        <w:t>tištěný text a vzory</w:t>
      </w:r>
      <w:r w:rsidRPr="006C664F">
        <w:rPr>
          <w:rFonts w:ascii="Calibri" w:eastAsia="Calibri" w:hAnsi="Calibri"/>
          <w:b/>
          <w:color w:val="000000"/>
          <w:sz w:val="22"/>
          <w:szCs w:val="22"/>
          <w:lang w:eastAsia="en-US"/>
        </w:rPr>
        <w:tab/>
      </w:r>
      <w:r w:rsidRPr="006C664F">
        <w:rPr>
          <w:rFonts w:ascii="Calibri" w:eastAsia="Calibri" w:hAnsi="Calibri"/>
          <w:b/>
          <w:color w:val="000000"/>
          <w:sz w:val="22"/>
          <w:szCs w:val="22"/>
          <w:lang w:eastAsia="en-US"/>
        </w:rPr>
        <w:tab/>
      </w:r>
    </w:p>
    <w:p w:rsidR="002516B7" w:rsidRPr="006C664F" w:rsidRDefault="002516B7" w:rsidP="002516B7">
      <w:pPr>
        <w:ind w:left="3540" w:hanging="3540"/>
        <w:rPr>
          <w:rFonts w:ascii="Calibri" w:eastAsia="Calibri" w:hAnsi="Calibri"/>
          <w:b/>
          <w:color w:val="000000"/>
          <w:sz w:val="22"/>
          <w:szCs w:val="22"/>
          <w:lang w:eastAsia="en-US"/>
        </w:rPr>
      </w:pPr>
      <w:r w:rsidRPr="006C664F">
        <w:rPr>
          <w:rFonts w:ascii="Calibri" w:eastAsia="Calibri" w:hAnsi="Calibri"/>
          <w:b/>
          <w:color w:val="000000"/>
          <w:sz w:val="22"/>
          <w:szCs w:val="22"/>
          <w:lang w:eastAsia="en-US"/>
        </w:rPr>
        <w:t xml:space="preserve">Očekávaný výstup: </w:t>
      </w:r>
      <w:r w:rsidRPr="004168F6">
        <w:rPr>
          <w:rFonts w:ascii="Calibri" w:eastAsia="Calibri" w:hAnsi="Calibri"/>
          <w:b/>
          <w:color w:val="000000"/>
          <w:sz w:val="22"/>
          <w:szCs w:val="22"/>
          <w:lang w:eastAsia="en-US"/>
        </w:rPr>
        <w:tab/>
      </w:r>
      <w:r w:rsidRPr="006C664F">
        <w:rPr>
          <w:rFonts w:ascii="Calibri" w:hAnsi="Calibri"/>
          <w:sz w:val="22"/>
          <w:szCs w:val="22"/>
          <w:lang w:eastAsia="en-US"/>
        </w:rPr>
        <w:t>žák je schopen bezchybně a podle norem napsat a upravit obchodní a hospodářské písemnosti</w:t>
      </w:r>
      <w:r w:rsidRPr="006C664F">
        <w:rPr>
          <w:rFonts w:ascii="Calibri" w:eastAsia="Calibri" w:hAnsi="Calibri"/>
          <w:b/>
          <w:color w:val="000000"/>
          <w:sz w:val="22"/>
          <w:szCs w:val="22"/>
          <w:lang w:eastAsia="en-US"/>
        </w:rPr>
        <w:tab/>
      </w:r>
    </w:p>
    <w:p w:rsidR="002516B7" w:rsidRPr="006C664F" w:rsidRDefault="002516B7" w:rsidP="002516B7">
      <w:pPr>
        <w:ind w:left="3540" w:hanging="3540"/>
        <w:rPr>
          <w:rFonts w:ascii="Calibri" w:eastAsia="Calibri" w:hAnsi="Calibri"/>
          <w:b/>
          <w:color w:val="000000"/>
          <w:sz w:val="24"/>
          <w:szCs w:val="24"/>
          <w:lang w:eastAsia="en-US"/>
        </w:rPr>
      </w:pPr>
      <w:r w:rsidRPr="006C664F">
        <w:rPr>
          <w:rFonts w:ascii="Calibri" w:eastAsia="Calibri" w:hAnsi="Calibri"/>
          <w:b/>
          <w:color w:val="000000"/>
          <w:sz w:val="22"/>
          <w:szCs w:val="22"/>
          <w:lang w:eastAsia="en-US"/>
        </w:rPr>
        <w:t xml:space="preserve">Metodika učebního materiálu: </w:t>
      </w:r>
      <w:r>
        <w:rPr>
          <w:rFonts w:ascii="Calibri" w:eastAsia="Calibri" w:hAnsi="Calibri"/>
          <w:b/>
          <w:color w:val="000000"/>
          <w:sz w:val="22"/>
          <w:szCs w:val="22"/>
          <w:lang w:eastAsia="en-US"/>
        </w:rPr>
        <w:tab/>
      </w:r>
      <w:r w:rsidRPr="006C664F">
        <w:rPr>
          <w:rFonts w:ascii="Calibri" w:hAnsi="Calibri"/>
          <w:sz w:val="22"/>
          <w:szCs w:val="22"/>
          <w:lang w:eastAsia="en-US"/>
        </w:rPr>
        <w:t>každá ucelená kapitola obsahuje na začátku vzor písemnosti pro žáky, kteří na jeho základě potom vypracovávají jednotlivé úkoly. Vyučující tento vzor použije k prezentaci, zároveň žákům musí sdělit další instrukce týkající se zadání  např. určení dat , dále „Náš dopis  zn.“, popřípadě dalších sdělení (např.: které písemnosti se musí posílat doporučeně, atd). Pak následuje vypracování jednotlivých písemností za vzorem a zhodnocení práce vyučujícím nejen po obsahové, formální a gramatické stránce,  ale i to, aby písemnost odpovídala současným normám.Též žákům sdělí, kde a proč jednotlivá písemnost neodpovídá těmto normám a oznámkuje mu jeho úkol na základě výše uvedených kritérií.</w:t>
      </w:r>
    </w:p>
    <w:p w:rsidR="002516B7" w:rsidRDefault="002516B7" w:rsidP="002516B7">
      <w:pPr>
        <w:spacing w:after="200" w:line="276" w:lineRule="auto"/>
        <w:rPr>
          <w:b/>
          <w:sz w:val="24"/>
          <w:szCs w:val="24"/>
        </w:rPr>
      </w:pPr>
    </w:p>
    <w:p w:rsidR="002516B7" w:rsidRPr="002E63A5" w:rsidRDefault="002516B7" w:rsidP="002516B7">
      <w:pPr>
        <w:rPr>
          <w:rFonts w:asciiTheme="minorHAnsi" w:hAnsiTheme="minorHAnsi"/>
        </w:rPr>
      </w:pPr>
      <w:r w:rsidRPr="002E63A5">
        <w:rPr>
          <w:rFonts w:asciiTheme="minorHAnsi" w:hAnsiTheme="minorHAnsi"/>
        </w:rPr>
        <w:t>Autorem materiálu a všech jeho příloh, není-li uvedeno jinak, je Ing. Hana Illingerová.</w:t>
      </w:r>
    </w:p>
    <w:p w:rsidR="002516B7" w:rsidRDefault="002516B7">
      <w:pPr>
        <w:spacing w:after="200" w:line="276" w:lineRule="auto"/>
        <w:rPr>
          <w:b/>
          <w:sz w:val="24"/>
          <w:szCs w:val="24"/>
        </w:rPr>
      </w:pPr>
      <w:r>
        <w:rPr>
          <w:b/>
          <w:sz w:val="24"/>
          <w:szCs w:val="24"/>
        </w:rPr>
        <w:br w:type="page"/>
      </w:r>
    </w:p>
    <w:p w:rsidR="005F4622" w:rsidRPr="006C472B" w:rsidRDefault="006C472B" w:rsidP="006C472B">
      <w:pPr>
        <w:jc w:val="center"/>
        <w:rPr>
          <w:b/>
          <w:sz w:val="24"/>
          <w:szCs w:val="24"/>
        </w:rPr>
      </w:pPr>
      <w:r>
        <w:rPr>
          <w:b/>
          <w:sz w:val="24"/>
          <w:szCs w:val="24"/>
        </w:rPr>
        <w:lastRenderedPageBreak/>
        <w:t>Nabídka - pokračování</w:t>
      </w:r>
    </w:p>
    <w:p w:rsidR="006C472B" w:rsidRDefault="006C472B" w:rsidP="006C472B">
      <w:pPr>
        <w:jc w:val="both"/>
        <w:rPr>
          <w:sz w:val="24"/>
        </w:rPr>
      </w:pPr>
      <w:r>
        <w:rPr>
          <w:sz w:val="24"/>
        </w:rPr>
        <w:t>14.</w:t>
      </w:r>
    </w:p>
    <w:p w:rsidR="006C472B" w:rsidRDefault="006C472B" w:rsidP="006C472B">
      <w:pPr>
        <w:jc w:val="both"/>
        <w:rPr>
          <w:sz w:val="24"/>
        </w:rPr>
      </w:pPr>
      <w:r>
        <w:rPr>
          <w:sz w:val="24"/>
        </w:rPr>
        <w:t xml:space="preserve">      Veřejná obchodní společnost Bušek a Halných, Horova 298, 584 01 LEDEČ NAD SÁZAVOU, tel.:603 721 333 nebo 605 526 111, </w:t>
      </w:r>
      <w:hyperlink r:id="rId7" w:history="1">
        <w:r w:rsidRPr="00A05564">
          <w:rPr>
            <w:rStyle w:val="Hypertextovodkaz"/>
            <w:sz w:val="24"/>
          </w:rPr>
          <w:t>www.busek-halbich.cz</w:t>
        </w:r>
      </w:hyperlink>
      <w:r>
        <w:rPr>
          <w:sz w:val="24"/>
        </w:rPr>
        <w:t xml:space="preserve"> podniká od roku 1991 v oboru studnařství. Provádí hloubení studní průměru 80 cm, 100 cm, 150 cm, dále opravy a rekonstrukce kopaných studní. Čistí a desinfikuje studně, provádí montáže, demontáže a výměny čerpadel, vyhledává prameny. Ke všem činnostem zajišťuje společnost dokumentaci ke stavebnímu povolení. Studně hloubí i v tvrdých horninách bez omezení hloubky a šířky. Při práci používá ověřené postupy a technologie. Činností společnosti jsou i destrukční práce – destrukce železobetonu, betonových patek a konstrukcí, dále odstřely skalních masivů a převisů. Společnost bezplatně poradí s řešením problémů každého zákazníka. Zpracujte celostránkový inzerát (formát A4 na výšku) podle uvedených údajů. Můžete vložit i obrázky. </w:t>
      </w:r>
    </w:p>
    <w:p w:rsidR="006C472B" w:rsidRDefault="006C472B" w:rsidP="006C472B">
      <w:pPr>
        <w:jc w:val="both"/>
        <w:rPr>
          <w:sz w:val="24"/>
        </w:rPr>
      </w:pPr>
    </w:p>
    <w:p w:rsidR="006C472B" w:rsidRDefault="006C472B" w:rsidP="006C472B">
      <w:pPr>
        <w:jc w:val="both"/>
        <w:rPr>
          <w:sz w:val="24"/>
        </w:rPr>
      </w:pPr>
    </w:p>
    <w:p w:rsidR="006C472B" w:rsidRDefault="006C472B" w:rsidP="006C472B">
      <w:pPr>
        <w:jc w:val="both"/>
        <w:rPr>
          <w:sz w:val="24"/>
        </w:rPr>
      </w:pPr>
      <w:r>
        <w:rPr>
          <w:sz w:val="24"/>
        </w:rPr>
        <w:t>15.</w:t>
      </w:r>
    </w:p>
    <w:p w:rsidR="006C472B" w:rsidRDefault="006C472B" w:rsidP="006C472B">
      <w:pPr>
        <w:jc w:val="both"/>
        <w:rPr>
          <w:sz w:val="24"/>
        </w:rPr>
      </w:pPr>
      <w:r>
        <w:rPr>
          <w:sz w:val="24"/>
        </w:rPr>
        <w:t xml:space="preserve">      Josef Novák, Zádušní 506, 278 01 KRALUPY NAD VLTAVOU 1, tel.: 777 991 333, vyrábí a prodává prošívané deky a polštáře klasických rozměrů podle přání zákazníka. Provádí také čištění peří a výměnu sypkoviny – výběr ze 14-ti barev. Pan Novák si dojednal s vedoucími prodejen ložního prádla v regionu Mělník, Kladno a Litoměřice spolupráce – jeho letáky s nabídkou služeb budou k dispozici zákazníkům v těchto prodejnách. Zájemci mohou také využít bezplatné infolinky: 800 001 888. Zpracujte písemnost na formát papíru A5 na výšku. </w:t>
      </w:r>
    </w:p>
    <w:p w:rsidR="006C472B" w:rsidRDefault="006C472B" w:rsidP="006C472B">
      <w:pPr>
        <w:jc w:val="both"/>
        <w:rPr>
          <w:sz w:val="24"/>
        </w:rPr>
      </w:pPr>
    </w:p>
    <w:p w:rsidR="006C472B" w:rsidRDefault="006C472B" w:rsidP="006C472B">
      <w:pPr>
        <w:jc w:val="both"/>
        <w:rPr>
          <w:sz w:val="24"/>
        </w:rPr>
      </w:pPr>
      <w:r>
        <w:rPr>
          <w:sz w:val="24"/>
        </w:rPr>
        <w:t>16.</w:t>
      </w:r>
    </w:p>
    <w:p w:rsidR="006C472B" w:rsidRDefault="006C472B" w:rsidP="006C472B">
      <w:pPr>
        <w:jc w:val="both"/>
        <w:rPr>
          <w:sz w:val="24"/>
        </w:rPr>
      </w:pPr>
      <w:r>
        <w:rPr>
          <w:sz w:val="24"/>
        </w:rPr>
        <w:t xml:space="preserve">      Luxusní pětihvězdičkový hotel InterContinental Praha provozuje klub Health Club and Spa. Dnešního dne se manažer hotelu Ing. Václav malina obrací na firmu Telefónica O2 Czech Republic, a. s., Za Brumlovkou 266/2, Praha 4 – Michle, PSČ 140 22, a uvádí, že většina společností si je vědoma toho, že jejím nejhodnějším majetkem je duševní práce lidí. Proto je dobré pečovat o zdraví a svěžest zaměstnanců, což přispívá k celkovému úspěchu společnosti. Dokládá o i fakt, že většina moderních společností využívá různé formy firemního členství ve sportovních klubech. Zaměstnanci, kteří se věnují pravidelnému cvičení, jsou zdravější, spokojenější, produktivnější a mají radost ze života, což pozitivně ovlivňuje i jejich pracovní den. Pan Malina dále uvádí, že ví, že potřeby každé firmy jsou jiné, proto hotel nabízí několik variant firemních programů pro velké i menší společnosti, od jednorázových návštěv přes zvýhodněné karty na 10 vstupů až po dlouhodobé členské karty. V jejich fitness klubu mohou zaměstnanci firmy využívat bazén, saunu, vířivku, posilovnu, sál pro aerobic, solárium a parkování na hotelovém parkovišti po dobu 4 hodin. V případě zájmu může firma Telefónica psát na e-mailovou adresu </w:t>
      </w:r>
      <w:hyperlink r:id="rId8" w:history="1">
        <w:r w:rsidRPr="00EA06D0">
          <w:rPr>
            <w:rStyle w:val="Hypertextovodkaz"/>
            <w:sz w:val="24"/>
          </w:rPr>
          <w:t>prgha.fitness@ihg.com</w:t>
        </w:r>
      </w:hyperlink>
      <w:r>
        <w:rPr>
          <w:sz w:val="24"/>
        </w:rPr>
        <w:t xml:space="preserve">, případně volat na telefonní číslo 296 631 525 nebo faxovat na číslo 224 811 564. Podrobnosti lze vyčíst na internetové stránce </w:t>
      </w:r>
      <w:hyperlink r:id="rId9" w:history="1">
        <w:r w:rsidRPr="00EA06D0">
          <w:rPr>
            <w:rStyle w:val="Hypertextovodkaz"/>
            <w:sz w:val="24"/>
          </w:rPr>
          <w:t>www.icfitness</w:t>
        </w:r>
      </w:hyperlink>
      <w:r>
        <w:rPr>
          <w:sz w:val="24"/>
        </w:rPr>
        <w:t>. cz.</w:t>
      </w:r>
    </w:p>
    <w:p w:rsidR="006C472B" w:rsidRDefault="006C472B" w:rsidP="006C472B">
      <w:pPr>
        <w:jc w:val="both"/>
        <w:rPr>
          <w:sz w:val="24"/>
        </w:rPr>
      </w:pPr>
    </w:p>
    <w:p w:rsidR="006C472B" w:rsidRDefault="006C472B" w:rsidP="006C472B">
      <w:pPr>
        <w:jc w:val="both"/>
        <w:rPr>
          <w:sz w:val="24"/>
        </w:rPr>
      </w:pPr>
      <w:r>
        <w:rPr>
          <w:sz w:val="24"/>
        </w:rPr>
        <w:t xml:space="preserve">17. </w:t>
      </w:r>
    </w:p>
    <w:p w:rsidR="006C472B" w:rsidRDefault="006C472B" w:rsidP="006C472B">
      <w:pPr>
        <w:jc w:val="both"/>
        <w:rPr>
          <w:sz w:val="24"/>
        </w:rPr>
      </w:pPr>
      <w:r>
        <w:rPr>
          <w:sz w:val="24"/>
        </w:rPr>
        <w:t xml:space="preserve">     Výstavnická společnost Siemo Praha je pořadatelem veletrhů orientovaných na prezentaci firem, jejichž podnikatelské aktivity jsou zaměřeny na vše, co souvisí se stavbou domů, bydlením a zahradou. Od 2. do 4. dně příštího měsíce pořádá v Plzeňské sportovní hale Plzeňský veletrh s podtitulem Stavby, byt a zahrada. Dnešního dne oslovujete jako manažer veletrhu, tel.: 288 188 424, mobil: 728 188 425, e-mail:m vaše </w:t>
      </w:r>
      <w:hyperlink r:id="rId10" w:history="1">
        <w:r w:rsidRPr="00FA3B72">
          <w:rPr>
            <w:rStyle w:val="Hypertextovodkaz"/>
            <w:sz w:val="24"/>
          </w:rPr>
          <w:t>příjmeni@siemo.cz</w:t>
        </w:r>
      </w:hyperlink>
      <w:r>
        <w:rPr>
          <w:sz w:val="24"/>
        </w:rPr>
        <w:t xml:space="preserve">, jednoho z potenciálních vystavovatelů, společnost s ručením omezeným Vše pro zahradu, Dostojevského 763, 337 01 Rokycany 1. V písemnosti uvádíte, že veletrh je určen pro firmy </w:t>
      </w:r>
      <w:r>
        <w:rPr>
          <w:sz w:val="24"/>
        </w:rPr>
        <w:lastRenderedPageBreak/>
        <w:t>z celé ČR, ale především pro firmy a podnikatele z regionu. K prezentaci výrobků a služeb si může vystavovatel objednat u pořadatele veletržní stánek o minimální ploše 2 m2. Je možné jej postavit vybavit i podle přání vystavovatele. Nemůže-li se firma zúčastnit osobně, nabízí pořadatel prezentaci bez fyzické účasti formou reklamního panelu nebo letáků k dopisu je přiložena závazná přihláška a další informace o podmínkách prezentace včetně cen. Pořadatel věří, že nabídku získat nové zákazníky i kontakty adresát využije.</w:t>
      </w:r>
    </w:p>
    <w:p w:rsidR="006C472B" w:rsidRDefault="006C472B" w:rsidP="006C472B">
      <w:pPr>
        <w:jc w:val="both"/>
        <w:rPr>
          <w:sz w:val="24"/>
        </w:rPr>
      </w:pPr>
    </w:p>
    <w:p w:rsidR="006C472B" w:rsidRDefault="006C472B" w:rsidP="006C472B">
      <w:pPr>
        <w:jc w:val="both"/>
        <w:rPr>
          <w:sz w:val="24"/>
        </w:rPr>
      </w:pPr>
      <w:r>
        <w:rPr>
          <w:sz w:val="24"/>
        </w:rPr>
        <w:t>18.</w:t>
      </w:r>
    </w:p>
    <w:p w:rsidR="006C472B" w:rsidRDefault="006C472B" w:rsidP="006C472B">
      <w:pPr>
        <w:jc w:val="both"/>
        <w:rPr>
          <w:sz w:val="24"/>
        </w:rPr>
      </w:pPr>
      <w:r>
        <w:rPr>
          <w:sz w:val="24"/>
        </w:rPr>
        <w:t xml:space="preserve">      Jste jednatelem společnosti s ručením omezeným Biotop, tel.: 268 954 125, fax: 268 954 128, e-mail: </w:t>
      </w:r>
      <w:hyperlink r:id="rId11" w:history="1">
        <w:r w:rsidRPr="009300DF">
          <w:rPr>
            <w:rStyle w:val="Hypertextovodkaz"/>
            <w:sz w:val="24"/>
          </w:rPr>
          <w:t>kotle-biotop@seznam.cz</w:t>
        </w:r>
      </w:hyperlink>
      <w:r>
        <w:rPr>
          <w:sz w:val="24"/>
        </w:rPr>
        <w:t xml:space="preserve">, a oslovujete dnes dopisem jednoho z potenciálních odběratelů Ing. Jana Novotného, jednatele OKARK, s. r. o., V Aleji 750, 643 00 Brno 43, a nabízíte mu kotle na biomasu. V dopisu uvádíte, že se společnost 10 let specializuje na vývoj a kogenerační výrobu tepla a elektrické energie. Ekologicky získaná energie je vhodná právě pro vytápění objektů odběratele. Nabízíte kotle na biomasu o výkonu od 100kW do 10 000 kW. V těchto zařízeních lze spalovat dřevní odpad – tj. kůru, odřezky, štěpku a piliny. Teplo i elektrická energie se vyrábí buď moderním systémem ORC, nebo klasicky pomocí parní turbíny. Nabízíte zpracování projektu, dodávku i montáž zařízení. Zabezpečujete také záruční a pozáruční servis. Bližší informace najde zákazník na webových stránkách </w:t>
      </w:r>
      <w:hyperlink r:id="rId12" w:history="1">
        <w:r w:rsidRPr="009300DF">
          <w:rPr>
            <w:rStyle w:val="Hypertextovodkaz"/>
            <w:sz w:val="24"/>
          </w:rPr>
          <w:t>www.kotle-biotop.cz</w:t>
        </w:r>
      </w:hyperlink>
      <w:r>
        <w:rPr>
          <w:sz w:val="24"/>
        </w:rPr>
        <w:t xml:space="preserve"> nebo si může dojednat osobní návštěvu přímo u výrobce..</w:t>
      </w:r>
    </w:p>
    <w:p w:rsidR="006C472B" w:rsidRDefault="006C472B" w:rsidP="006C472B">
      <w:pPr>
        <w:jc w:val="both"/>
        <w:rPr>
          <w:sz w:val="24"/>
        </w:rPr>
      </w:pPr>
    </w:p>
    <w:p w:rsidR="006C472B" w:rsidRDefault="006C472B" w:rsidP="006C472B">
      <w:pPr>
        <w:jc w:val="both"/>
        <w:rPr>
          <w:sz w:val="24"/>
        </w:rPr>
      </w:pPr>
      <w:r>
        <w:rPr>
          <w:sz w:val="24"/>
        </w:rPr>
        <w:t>19.</w:t>
      </w:r>
    </w:p>
    <w:p w:rsidR="006C472B" w:rsidRDefault="006C472B" w:rsidP="006C472B">
      <w:pPr>
        <w:jc w:val="both"/>
        <w:rPr>
          <w:sz w:val="24"/>
        </w:rPr>
      </w:pPr>
      <w:r>
        <w:rPr>
          <w:sz w:val="24"/>
        </w:rPr>
        <w:t xml:space="preserve">     Kulturní a vzdělávací středisko Nika, s. r. o., Macháčkova 43, 318 00 Plzeň 18 (tel.: 377 383 543, fax: 377 383 544, e-mail: </w:t>
      </w:r>
      <w:hyperlink r:id="rId13" w:history="1">
        <w:r w:rsidRPr="00373968">
          <w:rPr>
            <w:rStyle w:val="Hypertextovodkaz"/>
            <w:sz w:val="24"/>
          </w:rPr>
          <w:t>vzdelavani@nika.cz</w:t>
        </w:r>
      </w:hyperlink>
      <w:r>
        <w:rPr>
          <w:sz w:val="24"/>
        </w:rPr>
        <w:t xml:space="preserve">) nabízí základním a středním školám komponované literární programy, které se pořádají v prostorách Niky. Cena vstupenky pro jednoho účastníka je Kč 60,-. Vzdělávací středisko nabízí však i množstevní slevy. Vyšle-li škola více než 30 účastníků na jeden pořad, bude středisko za každého dalšího účastníka převyšujícího tento počet účtovat za jednu vstupenku cenu o 20 % nižší. Pro pedagogický dozor je vstupné zdarma. V případě potřeby středisko zabezpečuje také dopravu autobusem. Přehled všech aktuálních představení je k dispozici v příloze. Uvedené informace zasílá společnost Nika formou obchodního dopisu řediteli SPŠ strojnické Plzeň, Klatovská 109, 320 57 Plzeň 20 (tel.: 377 622 835, e-mail: </w:t>
      </w:r>
      <w:hyperlink r:id="rId14" w:history="1">
        <w:r w:rsidRPr="00373968">
          <w:rPr>
            <w:rStyle w:val="Hypertextovodkaz"/>
            <w:sz w:val="24"/>
          </w:rPr>
          <w:t>škola@spss-plzen.cz</w:t>
        </w:r>
      </w:hyperlink>
      <w:r>
        <w:rPr>
          <w:sz w:val="24"/>
        </w:rPr>
        <w:t>), Ing. Přemyslovu Kukačkovi, Dopis podepisuje jednatel společnosti Nika Ing. Jan Lindner.</w:t>
      </w:r>
    </w:p>
    <w:p w:rsidR="006C472B" w:rsidRDefault="006C472B" w:rsidP="006C472B">
      <w:pPr>
        <w:jc w:val="both"/>
        <w:rPr>
          <w:sz w:val="24"/>
        </w:rPr>
      </w:pPr>
    </w:p>
    <w:p w:rsidR="006C472B" w:rsidRDefault="006C472B" w:rsidP="006C472B">
      <w:pPr>
        <w:jc w:val="both"/>
        <w:rPr>
          <w:sz w:val="24"/>
        </w:rPr>
      </w:pPr>
      <w:r>
        <w:rPr>
          <w:sz w:val="24"/>
        </w:rPr>
        <w:t xml:space="preserve">20. </w:t>
      </w:r>
    </w:p>
    <w:p w:rsidR="006C472B" w:rsidRDefault="006C472B" w:rsidP="006C472B">
      <w:pPr>
        <w:jc w:val="both"/>
        <w:rPr>
          <w:sz w:val="24"/>
        </w:rPr>
      </w:pPr>
      <w:r>
        <w:rPr>
          <w:sz w:val="24"/>
        </w:rPr>
        <w:t xml:space="preserve">     Jednatel s. r. o. DUKO Ing. Petr Klínský, Křivenická 125, 181 00 Praha 8, tel.: 747 745 657, e-mail: </w:t>
      </w:r>
      <w:hyperlink r:id="rId15" w:history="1">
        <w:r w:rsidRPr="00465089">
          <w:rPr>
            <w:rStyle w:val="Hypertextovodkaz"/>
            <w:sz w:val="24"/>
          </w:rPr>
          <w:t>duko@duko.cz</w:t>
        </w:r>
      </w:hyperlink>
      <w:r>
        <w:rPr>
          <w:sz w:val="24"/>
        </w:rPr>
        <w:t xml:space="preserve">, posílá řediteli Obchodní akademie Plzeň, nám. T. G. Masaryka 13. 301 00 Plzeň, Mgr. Muloslavu Skuhravému, tel.: 377 236 611, e-mail: </w:t>
      </w:r>
      <w:hyperlink r:id="rId16" w:history="1">
        <w:r w:rsidRPr="00465089">
          <w:rPr>
            <w:rStyle w:val="Hypertextovodkaz"/>
            <w:sz w:val="24"/>
          </w:rPr>
          <w:t>mailbox@oaplzen.cz</w:t>
        </w:r>
      </w:hyperlink>
      <w:r>
        <w:rPr>
          <w:sz w:val="24"/>
        </w:rPr>
        <w:t xml:space="preserve">, pod zn. 89/20xx-Kl, nabídku seminářů pro vyučující ekonomiky. Ing. Klínský sděluje, že semináře jsou určeny především pro školy, které odebírají učebnice ekonomiky od společnosti DUKO. Semináře jsou zaměřeny na aktuální změny v ekonomické oblasti a jejich promítnutí do výuky. Jsou akreditovány Ministerstvem školství, mládeže a tělovýchovy. Účastníci obdrží osvědčení o jejich absolvování. Jednatel dále sděluje, že pro školy, které odebírají jejich učebnice, poskytují pro vyučující volná místa zdarma. Bližší informace o této akci mohou nalézt na internetových stránkách </w:t>
      </w:r>
      <w:hyperlink r:id="rId17" w:history="1">
        <w:r w:rsidRPr="00465089">
          <w:rPr>
            <w:rStyle w:val="Hypertextovodkaz"/>
            <w:sz w:val="24"/>
          </w:rPr>
          <w:t>www.duko.cz</w:t>
        </w:r>
      </w:hyperlink>
      <w:r>
        <w:rPr>
          <w:sz w:val="24"/>
        </w:rPr>
        <w:t>. Pro ostatní účastníky činí cena semináře Kč 500,-. Pro nastávající období stanovila společnost DUKO pro semináře tři termíny – 15., 20. a 26. dne příštího měsíce. Nosným tématem budou změny v oblasti veřejných financí a aktuální stav v ČR a v EU. Vyučující se v případě zájmu mohou přihlásit přes formulář na uvedených webových stránkách.</w:t>
      </w:r>
    </w:p>
    <w:p w:rsidR="006C472B" w:rsidRDefault="006C472B" w:rsidP="006C472B">
      <w:pPr>
        <w:jc w:val="both"/>
        <w:rPr>
          <w:sz w:val="24"/>
        </w:rPr>
      </w:pPr>
    </w:p>
    <w:p w:rsidR="006C472B" w:rsidRDefault="006C472B" w:rsidP="006C472B">
      <w:pPr>
        <w:jc w:val="both"/>
        <w:rPr>
          <w:sz w:val="24"/>
        </w:rPr>
      </w:pPr>
    </w:p>
    <w:p w:rsidR="006C472B" w:rsidRDefault="006C472B" w:rsidP="006C472B">
      <w:pPr>
        <w:jc w:val="both"/>
        <w:rPr>
          <w:sz w:val="24"/>
        </w:rPr>
      </w:pPr>
    </w:p>
    <w:p w:rsidR="006C472B" w:rsidRDefault="006C472B"/>
    <w:sectPr w:rsidR="006C472B" w:rsidSect="005F462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2"/>
  </w:compat>
  <w:rsids>
    <w:rsidRoot w:val="006C472B"/>
    <w:rsid w:val="002516B7"/>
    <w:rsid w:val="00261B22"/>
    <w:rsid w:val="003E01B6"/>
    <w:rsid w:val="005F4622"/>
    <w:rsid w:val="006C472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6C472B"/>
    <w:pPr>
      <w:spacing w:after="0" w:line="240" w:lineRule="auto"/>
    </w:pPr>
    <w:rPr>
      <w:rFonts w:ascii="Times New Roman" w:eastAsia="Times New Roman" w:hAnsi="Times New Roman" w:cs="Times New Roman"/>
      <w:sz w:val="20"/>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rsid w:val="006C472B"/>
    <w:rPr>
      <w:color w:val="0000FF"/>
      <w:u w:val="single"/>
    </w:rPr>
  </w:style>
  <w:style w:type="paragraph" w:styleId="Textbubliny">
    <w:name w:val="Balloon Text"/>
    <w:basedOn w:val="Normln"/>
    <w:link w:val="TextbublinyChar"/>
    <w:uiPriority w:val="99"/>
    <w:semiHidden/>
    <w:unhideWhenUsed/>
    <w:rsid w:val="002516B7"/>
    <w:rPr>
      <w:rFonts w:ascii="Tahoma" w:hAnsi="Tahoma" w:cs="Tahoma"/>
      <w:sz w:val="16"/>
      <w:szCs w:val="16"/>
    </w:rPr>
  </w:style>
  <w:style w:type="character" w:customStyle="1" w:styleId="TextbublinyChar">
    <w:name w:val="Text bubliny Char"/>
    <w:basedOn w:val="Standardnpsmoodstavce"/>
    <w:link w:val="Textbubliny"/>
    <w:uiPriority w:val="99"/>
    <w:semiHidden/>
    <w:rsid w:val="002516B7"/>
    <w:rPr>
      <w:rFonts w:ascii="Tahoma" w:eastAsia="Times New Roman" w:hAnsi="Tahoma" w:cs="Tahoma"/>
      <w:sz w:val="16"/>
      <w:szCs w:val="16"/>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prgha.fitness@ihg.com" TargetMode="External"/><Relationship Id="rId13" Type="http://schemas.openxmlformats.org/officeDocument/2006/relationships/hyperlink" Target="mailto:vzdelavani@nika.cz"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busek-halbich.cz" TargetMode="External"/><Relationship Id="rId12" Type="http://schemas.openxmlformats.org/officeDocument/2006/relationships/hyperlink" Target="http://www.kotle-biotop.cz" TargetMode="External"/><Relationship Id="rId17" Type="http://schemas.openxmlformats.org/officeDocument/2006/relationships/hyperlink" Target="http://www.duko.cz" TargetMode="External"/><Relationship Id="rId2" Type="http://schemas.microsoft.com/office/2007/relationships/stylesWithEffects" Target="stylesWithEffects.xml"/><Relationship Id="rId16" Type="http://schemas.openxmlformats.org/officeDocument/2006/relationships/hyperlink" Target="mailto:mailbox@oaplzen.cz" TargetMode="Externa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hyperlink" Target="mailto:kotle-biotop@seznam.cz" TargetMode="External"/><Relationship Id="rId5" Type="http://schemas.openxmlformats.org/officeDocument/2006/relationships/image" Target="media/image1.jpeg"/><Relationship Id="rId15" Type="http://schemas.openxmlformats.org/officeDocument/2006/relationships/hyperlink" Target="mailto:duko@duko.cz" TargetMode="External"/><Relationship Id="rId10" Type="http://schemas.openxmlformats.org/officeDocument/2006/relationships/hyperlink" Target="mailto:p&#345;&#237;jmeni@siemo.cz"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icfitness" TargetMode="External"/><Relationship Id="rId14" Type="http://schemas.openxmlformats.org/officeDocument/2006/relationships/hyperlink" Target="mailto:&#353;kola@spss-plzen.cz" TargetMode="Externa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1354</Words>
  <Characters>7995</Characters>
  <Application>Microsoft Office Word</Application>
  <DocSecurity>0</DocSecurity>
  <Lines>66</Lines>
  <Paragraphs>18</Paragraphs>
  <ScaleCrop>false</ScaleCrop>
  <Company/>
  <LinksUpToDate>false</LinksUpToDate>
  <CharactersWithSpaces>9331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dc:creator>
  <cp:keywords/>
  <dc:description/>
  <cp:lastModifiedBy>V</cp:lastModifiedBy>
  <cp:revision>3</cp:revision>
  <dcterms:created xsi:type="dcterms:W3CDTF">2013-02-07T14:32:00Z</dcterms:created>
  <dcterms:modified xsi:type="dcterms:W3CDTF">2014-04-02T16:33:00Z</dcterms:modified>
</cp:coreProperties>
</file>